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附件2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bookmarkStart w:id="0" w:name="chaosong"/>
      <w:bookmarkEnd w:id="0"/>
      <w:r>
        <w:rPr>
          <w:rFonts w:hint="eastAsia" w:ascii="黑体" w:eastAsia="黑体" w:cs="黑体"/>
          <w:sz w:val="28"/>
          <w:szCs w:val="28"/>
        </w:rPr>
        <w:t>记账式国债债权托管应急申请书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480" w:firstLineChars="200"/>
        <w:textAlignment w:val="auto"/>
        <w:rPr>
          <w:rFonts w:ascii="宋体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政府债券发行系统客户端出现故障，现以书面形式发送________年记账式（附息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期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国债发行债权托管应急申请书。我单位承诺：本债权托管应急申请书由我单位授权经办人填写，内容真实、准确、完整，具有与系统投标同等效力，我单位自愿承担应急债权托管所产生风险。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2310" w:firstLineChars="1100"/>
        <w:textAlignment w:val="auto"/>
        <w:rPr>
          <w:rFonts w:ascii="宋体"/>
        </w:rPr>
      </w:pPr>
      <w:r>
        <w:rPr>
          <w:rFonts w:ascii="宋体" w:hAnsi="宋体" w:cs="宋体"/>
        </w:rPr>
        <w:t xml:space="preserve">               </w:t>
      </w:r>
      <w:r>
        <w:rPr>
          <w:rFonts w:ascii="宋体" w:hAnsi="宋体" w:cs="宋体"/>
          <w:b/>
          <w:bCs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申请日期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   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722" w:firstLineChars="30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托管机构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国债公司【要素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证券登记公司（上海）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证券登记公司（深圳）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合计【要素</w:t>
            </w: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5"/>
        <w:spacing w:before="62" w:beforeLines="20" w:after="0"/>
        <w:rPr>
          <w:rFonts w:hint="eastAsia"/>
          <w:b/>
          <w:bCs/>
          <w:sz w:val="21"/>
          <w:szCs w:val="21"/>
        </w:rPr>
      </w:pPr>
    </w:p>
    <w:p>
      <w:pPr>
        <w:pStyle w:val="5"/>
        <w:spacing w:before="62" w:beforeLines="20" w:after="0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</w:rPr>
        <w:t>电子密押</w:t>
      </w:r>
      <w:r>
        <w:rPr>
          <w:rFonts w:hint="eastAsia"/>
          <w:b/>
          <w:bCs/>
          <w:spacing w:val="-40"/>
          <w:sz w:val="21"/>
          <w:szCs w:val="21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5"/>
        <w:spacing w:before="62" w:beforeLines="20" w:after="0"/>
        <w:rPr>
          <w:sz w:val="21"/>
          <w:szCs w:val="21"/>
        </w:rPr>
      </w:pPr>
    </w:p>
    <w:p>
      <w:pPr>
        <w:pStyle w:val="5"/>
        <w:spacing w:before="62" w:beforeLines="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5"/>
        <w:spacing w:before="62" w:beforeLines="20" w:after="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adjustRightInd w:val="0"/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注意事项：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1、债权托管应急申请书填写须清晰，不得涂改。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债权托管应急申请书进行电子密押计算时共有4项要素，其中要素1在电子密押器中已默认显示，如与债权托管应急申请书不符时，请手工修正密押器的要素1；要素2-4按债权托管应急申请书所填内容顺序输入密押器，输入内容与债权托管应急申请书填写内容必须完全一致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sz w:val="24"/>
          <w:szCs w:val="24"/>
        </w:rPr>
      </w:pPr>
      <w:bookmarkStart w:id="1" w:name="_GoBack"/>
      <w:bookmarkEnd w:id="1"/>
    </w:p>
    <w:sectPr>
      <w:footerReference r:id="rId3" w:type="default"/>
      <w:pgSz w:w="11906" w:h="16838"/>
      <w:pgMar w:top="1440" w:right="1633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3E5A"/>
    <w:rsid w:val="0BF121EA"/>
    <w:rsid w:val="18F720B9"/>
    <w:rsid w:val="6BFF594F"/>
    <w:rsid w:val="79DB3E5A"/>
    <w:rsid w:val="DBFF0A10"/>
    <w:rsid w:val="EE7FCA22"/>
    <w:rsid w:val="EFB63EEA"/>
    <w:rsid w:val="FDB769C2"/>
    <w:rsid w:val="FF7CD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2022-08-27T16:13:00Z</dcterms:created>
  <dc:creator>mengze</dc:creator>
  <cp:lastModifiedBy>Admin</cp:lastModifiedBy>
  <dcterms:modified xsi:type="dcterms:W3CDTF">2026-05-12T09:23:35Z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