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sz w:val="32"/>
          <w:szCs w:val="32"/>
          <w:lang w:eastAsia="zh-CN"/>
        </w:rPr>
      </w:pPr>
      <w:bookmarkStart w:id="0" w:name="_Toc6632"/>
    </w:p>
    <w:p>
      <w:pPr>
        <w:keepNext w:val="0"/>
        <w:keepLines w:val="0"/>
        <w:pageBreakBefore w:val="0"/>
        <w:widowControl/>
        <w:kinsoku/>
        <w:wordWrap/>
        <w:overflowPunct/>
        <w:topLinePunct w:val="0"/>
        <w:autoSpaceDE/>
        <w:autoSpaceDN/>
        <w:bidi w:val="0"/>
        <w:adjustRightInd/>
        <w:snapToGrid/>
        <w:jc w:val="both"/>
        <w:textAlignment w:val="auto"/>
        <w:outlineLvl w:val="9"/>
        <w:rPr>
          <w:rFonts w:hint="default" w:ascii="黑体" w:hAnsi="黑体" w:eastAsia="黑体" w:cs="黑体"/>
          <w:kern w:val="0"/>
          <w:sz w:val="32"/>
          <w:szCs w:val="32"/>
          <w:lang w:eastAsia="zh-CN"/>
        </w:rPr>
      </w:pPr>
    </w:p>
    <w:p>
      <w:pPr>
        <w:pStyle w:val="2"/>
        <w:rPr>
          <w:rFonts w:hint="default"/>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方正小标宋简体" w:hAnsi="方正小标宋简体" w:eastAsia="方正小标宋简体" w:cs="方正小标宋简体"/>
          <w:b w:val="0"/>
          <w:bCs w:val="0"/>
          <w:sz w:val="40"/>
          <w:szCs w:val="44"/>
          <w:highlight w:val="none"/>
          <w:lang w:val="en-US" w:eastAsia="zh-CN"/>
        </w:rPr>
      </w:pPr>
      <w:r>
        <w:rPr>
          <w:rFonts w:hint="eastAsia" w:ascii="方正小标宋简体" w:hAnsi="方正小标宋简体" w:eastAsia="方正小标宋简体" w:cs="方正小标宋简体"/>
          <w:b w:val="0"/>
          <w:bCs w:val="0"/>
          <w:sz w:val="40"/>
          <w:szCs w:val="44"/>
          <w:highlight w:val="none"/>
          <w:lang w:val="en-US" w:eastAsia="zh-CN"/>
        </w:rPr>
        <w:t>本溪市明山区威宁学校建设工程项目</w:t>
      </w:r>
    </w:p>
    <w:p>
      <w:pPr>
        <w:jc w:val="center"/>
        <w:rPr>
          <w:rFonts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方正小标宋简体" w:hAnsi="仿宋" w:eastAsia="方正小标宋简体"/>
          <w:sz w:val="72"/>
          <w:szCs w:val="96"/>
          <w:highlight w:val="none"/>
          <w:lang w:val="en-US" w:eastAsia="zh-CN"/>
        </w:rPr>
      </w:pPr>
      <w:r>
        <w:rPr>
          <w:rFonts w:hint="eastAsia" w:ascii="方正小标宋简体" w:hAnsi="仿宋" w:eastAsia="方正小标宋简体"/>
          <w:sz w:val="72"/>
          <w:szCs w:val="96"/>
          <w:highlight w:val="none"/>
          <w:lang w:eastAsia="zh-CN"/>
        </w:rPr>
        <w:t>绩效评价</w:t>
      </w:r>
      <w:r>
        <w:rPr>
          <w:rFonts w:hint="eastAsia" w:ascii="方正小标宋简体" w:hAnsi="仿宋" w:eastAsia="方正小标宋简体"/>
          <w:sz w:val="72"/>
          <w:szCs w:val="96"/>
          <w:highlight w:val="none"/>
          <w:lang w:val="en-US" w:eastAsia="zh-CN"/>
        </w:rPr>
        <w:t>报告</w:t>
      </w: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pStyle w:val="11"/>
        <w:adjustRightInd w:val="0"/>
        <w:snapToGrid w:val="0"/>
        <w:spacing w:before="0" w:beforeAutospacing="0" w:after="0" w:afterAutospacing="0"/>
        <w:jc w:val="left"/>
        <w:rPr>
          <w:rFonts w:hint="eastAsia" w:ascii="仿宋_GB2312" w:hAnsi="仿宋_GB2312" w:eastAsia="仿宋_GB2312" w:cs="仿宋_GB2312"/>
          <w:b/>
          <w:bCs/>
          <w:sz w:val="32"/>
          <w:szCs w:val="32"/>
          <w:highlight w:val="yellow"/>
          <w:shd w:val="clear" w:color="auto" w:fill="FFFFFF"/>
          <w:lang w:eastAsia="zh-CN"/>
        </w:rPr>
      </w:pPr>
    </w:p>
    <w:p>
      <w:pPr>
        <w:spacing w:before="0" w:beforeLines="0" w:after="0" w:afterLines="0" w:line="240" w:lineRule="auto"/>
        <w:ind w:left="0" w:leftChars="0" w:right="0" w:rightChars="0" w:firstLine="0" w:firstLineChars="0"/>
        <w:jc w:val="center"/>
        <w:rPr>
          <w:rFonts w:hint="eastAsia" w:ascii="黑体" w:hAnsi="黑体" w:eastAsia="黑体" w:cs="黑体"/>
          <w:kern w:val="2"/>
          <w:sz w:val="32"/>
          <w:szCs w:val="32"/>
          <w:highlight w:val="yellow"/>
          <w:lang w:val="en-US" w:eastAsia="zh-TW" w:bidi="ar-SA"/>
        </w:rPr>
      </w:pPr>
    </w:p>
    <w:p>
      <w:pPr>
        <w:spacing w:before="0" w:beforeLines="0" w:after="0" w:afterLines="0" w:line="240" w:lineRule="auto"/>
        <w:ind w:left="0" w:leftChars="0" w:right="0" w:rightChars="0" w:firstLine="0" w:firstLineChars="0"/>
        <w:jc w:val="center"/>
        <w:rPr>
          <w:rFonts w:hint="eastAsia" w:ascii="黑体" w:hAnsi="黑体" w:eastAsia="黑体" w:cs="黑体"/>
          <w:kern w:val="2"/>
          <w:sz w:val="32"/>
          <w:szCs w:val="32"/>
          <w:highlight w:val="yellow"/>
          <w:lang w:val="en-US" w:eastAsia="zh-TW" w:bidi="ar-SA"/>
        </w:rPr>
      </w:pPr>
    </w:p>
    <w:p>
      <w:pPr>
        <w:spacing w:before="0" w:beforeLines="0" w:after="0" w:afterLines="0" w:line="240" w:lineRule="auto"/>
        <w:ind w:left="0" w:leftChars="0" w:right="0" w:rightChars="0" w:firstLine="0" w:firstLineChars="0"/>
        <w:jc w:val="center"/>
        <w:rPr>
          <w:rFonts w:hint="eastAsia" w:ascii="黑体" w:hAnsi="黑体" w:eastAsia="黑体" w:cs="黑体"/>
          <w:kern w:val="2"/>
          <w:sz w:val="32"/>
          <w:szCs w:val="32"/>
          <w:highlight w:val="yellow"/>
          <w:lang w:val="en-US" w:eastAsia="zh-TW" w:bidi="ar-SA"/>
        </w:rPr>
      </w:pPr>
    </w:p>
    <w:p>
      <w:pPr>
        <w:spacing w:before="0" w:beforeLines="0" w:after="0" w:afterLines="0" w:line="240" w:lineRule="auto"/>
        <w:ind w:left="0" w:leftChars="0" w:right="0" w:rightChars="0" w:firstLine="0" w:firstLineChars="0"/>
        <w:jc w:val="center"/>
        <w:rPr>
          <w:rFonts w:hint="eastAsia" w:ascii="黑体" w:hAnsi="黑体" w:eastAsia="黑体" w:cs="黑体"/>
          <w:kern w:val="2"/>
          <w:sz w:val="32"/>
          <w:szCs w:val="32"/>
          <w:highlight w:val="yellow"/>
          <w:lang w:val="en-US" w:eastAsia="zh-TW" w:bidi="ar-SA"/>
        </w:rPr>
      </w:pPr>
    </w:p>
    <w:p>
      <w:pPr>
        <w:spacing w:before="0" w:beforeLines="0" w:after="0" w:afterLines="0" w:line="240" w:lineRule="auto"/>
        <w:ind w:left="0" w:leftChars="0" w:right="0" w:rightChars="0" w:firstLine="0" w:firstLineChars="0"/>
        <w:jc w:val="center"/>
        <w:rPr>
          <w:rFonts w:hint="eastAsia" w:ascii="黑体" w:hAnsi="黑体" w:eastAsia="黑体" w:cs="黑体"/>
          <w:kern w:val="2"/>
          <w:sz w:val="32"/>
          <w:szCs w:val="32"/>
          <w:highlight w:val="yellow"/>
          <w:lang w:val="en-US" w:eastAsia="zh-TW" w:bidi="ar-SA"/>
        </w:rPr>
      </w:pPr>
    </w:p>
    <w:sdt>
      <w:sdtPr>
        <w:rPr>
          <w:rFonts w:hint="eastAsia" w:ascii="黑体" w:hAnsi="黑体" w:eastAsia="黑体" w:cs="黑体"/>
          <w:kern w:val="2"/>
          <w:sz w:val="32"/>
          <w:szCs w:val="32"/>
          <w:highlight w:val="yellow"/>
          <w:lang w:val="en-US" w:eastAsia="zh-TW" w:bidi="ar-SA"/>
        </w:rPr>
        <w:id w:val="147477635"/>
        <w15:color w:val="DBDBDB"/>
        <w:docPartObj>
          <w:docPartGallery w:val="Table of Contents"/>
          <w:docPartUnique/>
        </w:docPartObj>
      </w:sdtPr>
      <w:sdtEndPr>
        <w:rPr>
          <w:rFonts w:hint="default" w:ascii="Times New Roman" w:hAnsi="Times New Roman" w:eastAsia="仿宋_GB2312" w:cs="Times New Roman"/>
          <w:kern w:val="2"/>
          <w:sz w:val="28"/>
          <w:szCs w:val="28"/>
          <w:highlight w:val="yellow"/>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highlight w:val="none"/>
            </w:rPr>
          </w:pPr>
          <w:r>
            <w:rPr>
              <w:rFonts w:hint="eastAsia" w:ascii="黑体" w:hAnsi="黑体" w:eastAsia="黑体" w:cs="黑体"/>
              <w:kern w:val="2"/>
              <w:sz w:val="32"/>
              <w:szCs w:val="32"/>
              <w:highlight w:val="none"/>
              <w:lang w:val="en-US" w:eastAsia="zh-CN" w:bidi="ar-SA"/>
            </w:rPr>
            <w:t xml:space="preserve">目  </w:t>
          </w:r>
          <w:r>
            <w:rPr>
              <w:rFonts w:hint="eastAsia" w:ascii="黑体" w:hAnsi="黑体" w:eastAsia="黑体" w:cs="黑体"/>
              <w:sz w:val="32"/>
              <w:szCs w:val="32"/>
              <w:highlight w:val="none"/>
            </w:rPr>
            <w:t>录</w:t>
          </w:r>
        </w:p>
        <w:p>
          <w:pPr>
            <w:pStyle w:val="9"/>
            <w:tabs>
              <w:tab w:val="right" w:leader="dot" w:pos="8306"/>
            </w:tabs>
            <w:rPr>
              <w:rFonts w:hint="default" w:ascii="Times New Roman" w:hAnsi="Times New Roman" w:eastAsia="黑体"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TOC \o "1-3" \h \u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黑体" w:cs="Times New Roman"/>
              <w:kern w:val="2"/>
              <w:sz w:val="28"/>
              <w:szCs w:val="28"/>
              <w:highlight w:val="yellow"/>
              <w:lang w:eastAsia="zh-CN"/>
            </w:rPr>
            <w:fldChar w:fldCharType="begin"/>
          </w:r>
          <w:r>
            <w:rPr>
              <w:rFonts w:hint="default" w:ascii="Times New Roman" w:hAnsi="Times New Roman" w:eastAsia="黑体" w:cs="Times New Roman"/>
              <w:kern w:val="2"/>
              <w:sz w:val="28"/>
              <w:szCs w:val="28"/>
              <w:highlight w:val="yellow"/>
              <w:lang w:eastAsia="zh-CN"/>
            </w:rPr>
            <w:instrText xml:space="preserve"> HYPERLINK \l _Toc24941 </w:instrText>
          </w:r>
          <w:r>
            <w:rPr>
              <w:rFonts w:hint="default" w:ascii="Times New Roman" w:hAnsi="Times New Roman" w:eastAsia="黑体" w:cs="Times New Roman"/>
              <w:kern w:val="2"/>
              <w:sz w:val="28"/>
              <w:szCs w:val="28"/>
              <w:highlight w:val="yellow"/>
              <w:lang w:eastAsia="zh-CN"/>
            </w:rPr>
            <w:fldChar w:fldCharType="separate"/>
          </w:r>
          <w:r>
            <w:rPr>
              <w:rFonts w:hint="default" w:ascii="Times New Roman" w:hAnsi="Times New Roman" w:eastAsia="黑体" w:cs="Times New Roman"/>
              <w:kern w:val="2"/>
              <w:sz w:val="28"/>
              <w:szCs w:val="28"/>
              <w:highlight w:val="none"/>
              <w:lang w:eastAsia="zh-CN"/>
            </w:rPr>
            <w:t>一、</w:t>
          </w:r>
          <w:r>
            <w:rPr>
              <w:rFonts w:hint="default" w:ascii="Times New Roman" w:hAnsi="Times New Roman" w:eastAsia="黑体" w:cs="Times New Roman"/>
              <w:kern w:val="2"/>
              <w:sz w:val="28"/>
              <w:szCs w:val="28"/>
              <w:highlight w:val="none"/>
              <w:lang w:val="en-US" w:eastAsia="zh-CN"/>
            </w:rPr>
            <w:t>基本情况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_Toc24941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_Toc27192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kern w:val="2"/>
              <w:sz w:val="28"/>
              <w:szCs w:val="28"/>
              <w:highlight w:val="none"/>
              <w:lang w:val="en-US" w:eastAsia="zh-CN" w:bidi="ar-SA"/>
            </w:rPr>
            <w:t>（一）项目概况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_Toc27192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_Toc28815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kern w:val="2"/>
              <w:sz w:val="28"/>
              <w:szCs w:val="28"/>
              <w:highlight w:val="none"/>
              <w:lang w:val="en-US" w:eastAsia="zh-CN" w:bidi="ar-SA"/>
            </w:rPr>
            <w:t>（二）资金投入及使用情况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_Toc28815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_Toc14035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黑体" w:cs="Times New Roman"/>
              <w:sz w:val="28"/>
              <w:szCs w:val="28"/>
              <w:highlight w:val="none"/>
            </w:rPr>
            <w:t>二、绩效评价工作</w:t>
          </w:r>
          <w:r>
            <w:rPr>
              <w:rFonts w:hint="default" w:ascii="Times New Roman" w:hAnsi="Times New Roman" w:eastAsia="黑体" w:cs="Times New Roman"/>
              <w:sz w:val="28"/>
              <w:szCs w:val="28"/>
              <w:highlight w:val="none"/>
              <w:lang w:val="en-US" w:eastAsia="zh-CN"/>
            </w:rPr>
            <w:t>开展</w:t>
          </w:r>
          <w:r>
            <w:rPr>
              <w:rFonts w:hint="default" w:ascii="Times New Roman" w:hAnsi="Times New Roman" w:eastAsia="黑体" w:cs="Times New Roman"/>
              <w:sz w:val="28"/>
              <w:szCs w:val="28"/>
              <w:highlight w:val="none"/>
            </w:rPr>
            <w:t>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_Toc14035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_Toc26079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rPr>
            <w:t>（一）</w:t>
          </w:r>
          <w:r>
            <w:rPr>
              <w:rFonts w:hint="default" w:ascii="Times New Roman" w:hAnsi="Times New Roman" w:eastAsia="楷体_GB2312" w:cs="Times New Roman"/>
              <w:bCs w:val="0"/>
              <w:sz w:val="28"/>
              <w:szCs w:val="28"/>
              <w:highlight w:val="none"/>
              <w:lang w:val="en-US" w:eastAsia="zh-CN"/>
            </w:rPr>
            <w:t>绩效</w:t>
          </w:r>
          <w:r>
            <w:rPr>
              <w:rFonts w:hint="default" w:ascii="Times New Roman" w:hAnsi="Times New Roman" w:eastAsia="楷体_GB2312" w:cs="Times New Roman"/>
              <w:bCs w:val="0"/>
              <w:sz w:val="28"/>
              <w:szCs w:val="28"/>
              <w:highlight w:val="none"/>
            </w:rPr>
            <w:t>评价目的</w:t>
          </w:r>
          <w:r>
            <w:rPr>
              <w:rFonts w:hint="default" w:ascii="Times New Roman" w:hAnsi="Times New Roman" w:eastAsia="楷体_GB2312" w:cs="Times New Roman"/>
              <w:bCs w:val="0"/>
              <w:sz w:val="28"/>
              <w:szCs w:val="28"/>
              <w:highlight w:val="none"/>
              <w:lang w:val="en-US" w:eastAsia="zh-CN"/>
            </w:rPr>
            <w:t>及对象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_Toc26079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_Toc27168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二</w:t>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绩效</w:t>
          </w:r>
          <w:r>
            <w:rPr>
              <w:rFonts w:hint="default" w:ascii="Times New Roman" w:hAnsi="Times New Roman" w:eastAsia="楷体_GB2312" w:cs="Times New Roman"/>
              <w:bCs w:val="0"/>
              <w:sz w:val="28"/>
              <w:szCs w:val="28"/>
              <w:highlight w:val="none"/>
            </w:rPr>
            <w:t>评价</w:t>
          </w:r>
          <w:r>
            <w:rPr>
              <w:rFonts w:hint="default" w:ascii="Times New Roman" w:hAnsi="Times New Roman" w:eastAsia="楷体_GB2312" w:cs="Times New Roman"/>
              <w:bCs w:val="0"/>
              <w:sz w:val="28"/>
              <w:szCs w:val="28"/>
              <w:highlight w:val="none"/>
              <w:lang w:val="en-US" w:eastAsia="zh-CN"/>
            </w:rPr>
            <w:t>方法、</w:t>
          </w:r>
          <w:r>
            <w:rPr>
              <w:rFonts w:hint="default" w:ascii="Times New Roman" w:hAnsi="Times New Roman" w:eastAsia="楷体_GB2312" w:cs="Times New Roman"/>
              <w:bCs w:val="0"/>
              <w:sz w:val="28"/>
              <w:szCs w:val="28"/>
              <w:highlight w:val="none"/>
            </w:rPr>
            <w:t>评价</w:t>
          </w:r>
          <w:r>
            <w:rPr>
              <w:rFonts w:hint="default" w:ascii="Times New Roman" w:hAnsi="Times New Roman" w:eastAsia="楷体_GB2312" w:cs="Times New Roman"/>
              <w:bCs w:val="0"/>
              <w:sz w:val="28"/>
              <w:szCs w:val="28"/>
              <w:highlight w:val="none"/>
              <w:lang w:val="en-US" w:eastAsia="zh-CN"/>
            </w:rPr>
            <w:t>指标及评分标准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_Toc27168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_Toc9311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spacing w:val="-13"/>
              <w:sz w:val="28"/>
              <w:szCs w:val="28"/>
            </w:rPr>
            <w:t>（三）绩效评价工作过程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_Toc9311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_Toc28432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黑体" w:cs="Times New Roman"/>
              <w:sz w:val="28"/>
              <w:szCs w:val="28"/>
              <w:highlight w:val="none"/>
            </w:rPr>
            <w:t>三、</w:t>
          </w:r>
          <w:r>
            <w:rPr>
              <w:rFonts w:hint="default" w:ascii="Times New Roman" w:hAnsi="Times New Roman" w:eastAsia="黑体" w:cs="Times New Roman"/>
              <w:sz w:val="28"/>
              <w:szCs w:val="28"/>
              <w:highlight w:val="none"/>
              <w:lang w:val="en-US" w:eastAsia="zh-CN"/>
            </w:rPr>
            <w:t>综合评价情况及评价结论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_Toc28432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_Toc30564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黑体" w:cs="Times New Roman"/>
              <w:sz w:val="28"/>
              <w:szCs w:val="28"/>
              <w:highlight w:val="none"/>
              <w:lang w:val="en-US" w:eastAsia="zh-CN"/>
            </w:rPr>
            <w:t>四</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lang w:val="en-US" w:eastAsia="zh-CN"/>
            </w:rPr>
            <w:t>绩效评价指标分析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_Toc30564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_Toc26400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一</w:t>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项目决策情况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_Toc26400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_Toc30706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二</w:t>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项目过程情况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_Toc30706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_Toc30426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三</w:t>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项目产出情况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_Toc30426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_Toc12726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四</w:t>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项目效益情况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_Toc12726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_Toc14170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黑体" w:cs="Times New Roman"/>
              <w:sz w:val="28"/>
              <w:szCs w:val="28"/>
              <w:highlight w:val="none"/>
              <w:lang w:val="en-US" w:eastAsia="zh-CN"/>
            </w:rPr>
            <w:t>五</w:t>
          </w:r>
          <w:r>
            <w:rPr>
              <w:rFonts w:hint="default" w:ascii="Times New Roman" w:hAnsi="Times New Roman" w:eastAsia="黑体" w:cs="Times New Roman"/>
              <w:sz w:val="28"/>
              <w:szCs w:val="28"/>
              <w:highlight w:val="none"/>
            </w:rPr>
            <w:t>、主要</w:t>
          </w:r>
          <w:r>
            <w:rPr>
              <w:rFonts w:hint="default" w:ascii="Times New Roman" w:hAnsi="Times New Roman" w:eastAsia="黑体" w:cs="Times New Roman"/>
              <w:sz w:val="28"/>
              <w:szCs w:val="28"/>
              <w:highlight w:val="none"/>
              <w:lang w:val="en-US" w:eastAsia="zh-CN"/>
            </w:rPr>
            <w:t>存在的</w:t>
          </w:r>
          <w:r>
            <w:rPr>
              <w:rFonts w:hint="default" w:ascii="Times New Roman" w:hAnsi="Times New Roman" w:eastAsia="黑体" w:cs="Times New Roman"/>
              <w:sz w:val="28"/>
              <w:szCs w:val="28"/>
              <w:highlight w:val="none"/>
            </w:rPr>
            <w:t>问题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_Toc14170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_Toc11509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一</w:t>
          </w:r>
          <w:r>
            <w:rPr>
              <w:rFonts w:hint="default" w:ascii="Times New Roman" w:hAnsi="Times New Roman" w:eastAsia="楷体_GB2312" w:cs="Times New Roman"/>
              <w:bCs w:val="0"/>
              <w:sz w:val="28"/>
              <w:szCs w:val="28"/>
              <w:highlight w:val="none"/>
            </w:rPr>
            <w:t>）</w:t>
          </w:r>
          <w:r>
            <w:rPr>
              <w:rFonts w:hint="default" w:ascii="Times New Roman" w:hAnsi="Times New Roman" w:eastAsia="楷体_GB2312" w:cs="Times New Roman"/>
              <w:bCs w:val="0"/>
              <w:sz w:val="28"/>
              <w:szCs w:val="28"/>
              <w:highlight w:val="none"/>
              <w:lang w:val="en-US" w:eastAsia="zh-CN"/>
            </w:rPr>
            <w:t>财务管理不规范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_Toc11509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_Toc32001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lang w:eastAsia="zh-CN"/>
            </w:rPr>
            <w:t>（</w:t>
          </w:r>
          <w:r>
            <w:rPr>
              <w:rFonts w:hint="default" w:ascii="Times New Roman" w:hAnsi="Times New Roman" w:eastAsia="楷体_GB2312" w:cs="Times New Roman"/>
              <w:bCs w:val="0"/>
              <w:sz w:val="28"/>
              <w:szCs w:val="28"/>
              <w:highlight w:val="none"/>
              <w:lang w:val="en-US" w:eastAsia="zh-CN"/>
            </w:rPr>
            <w:t>二</w:t>
          </w:r>
          <w:r>
            <w:rPr>
              <w:rFonts w:hint="default" w:ascii="Times New Roman" w:hAnsi="Times New Roman" w:eastAsia="楷体_GB2312" w:cs="Times New Roman"/>
              <w:bCs w:val="0"/>
              <w:sz w:val="28"/>
              <w:szCs w:val="28"/>
              <w:highlight w:val="none"/>
              <w:lang w:eastAsia="zh-CN"/>
            </w:rPr>
            <w:t>）</w:t>
          </w:r>
          <w:r>
            <w:rPr>
              <w:rFonts w:hint="default" w:ascii="Times New Roman" w:hAnsi="Times New Roman" w:eastAsia="楷体_GB2312" w:cs="Times New Roman"/>
              <w:bCs w:val="0"/>
              <w:sz w:val="28"/>
              <w:szCs w:val="28"/>
              <w:highlight w:val="none"/>
              <w:lang w:val="en-US" w:eastAsia="zh-CN"/>
            </w:rPr>
            <w:t>资金拨付不及时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_Toc32001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_Toc27893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黑体" w:cs="Times New Roman"/>
              <w:sz w:val="28"/>
              <w:szCs w:val="28"/>
              <w:highlight w:val="none"/>
              <w:lang w:val="en-US" w:eastAsia="zh-CN"/>
            </w:rPr>
            <w:t>六</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lang w:val="en-US" w:eastAsia="zh-CN"/>
            </w:rPr>
            <w:t>有关建议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_Toc27893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_Toc25789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lang w:eastAsia="zh-CN"/>
            </w:rPr>
            <w:t>（</w:t>
          </w:r>
          <w:r>
            <w:rPr>
              <w:rFonts w:hint="default" w:ascii="Times New Roman" w:hAnsi="Times New Roman" w:eastAsia="楷体_GB2312" w:cs="Times New Roman"/>
              <w:bCs w:val="0"/>
              <w:sz w:val="28"/>
              <w:szCs w:val="28"/>
              <w:highlight w:val="none"/>
              <w:lang w:val="en-US" w:eastAsia="zh-CN"/>
            </w:rPr>
            <w:t>一</w:t>
          </w:r>
          <w:r>
            <w:rPr>
              <w:rFonts w:hint="default" w:ascii="Times New Roman" w:hAnsi="Times New Roman" w:eastAsia="楷体_GB2312" w:cs="Times New Roman"/>
              <w:bCs w:val="0"/>
              <w:sz w:val="28"/>
              <w:szCs w:val="28"/>
              <w:highlight w:val="none"/>
              <w:lang w:eastAsia="zh-CN"/>
            </w:rPr>
            <w:t>）</w:t>
          </w:r>
          <w:r>
            <w:rPr>
              <w:rFonts w:hint="default" w:ascii="Times New Roman" w:hAnsi="Times New Roman" w:eastAsia="楷体_GB2312" w:cs="Times New Roman"/>
              <w:bCs w:val="0"/>
              <w:sz w:val="28"/>
              <w:szCs w:val="28"/>
              <w:highlight w:val="none"/>
              <w:lang w:val="en-US" w:eastAsia="zh-CN"/>
            </w:rPr>
            <w:t>加强财务业务管理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_Toc25789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eastAsia="仿宋_GB2312" w:cs="Times New Roman"/>
              <w:kern w:val="2"/>
              <w:sz w:val="28"/>
              <w:szCs w:val="28"/>
              <w:highlight w:val="yellow"/>
              <w:lang w:eastAsia="zh-CN"/>
            </w:rPr>
            <w:fldChar w:fldCharType="begin"/>
          </w:r>
          <w:r>
            <w:rPr>
              <w:rFonts w:hint="default" w:ascii="Times New Roman" w:hAnsi="Times New Roman" w:eastAsia="仿宋_GB2312" w:cs="Times New Roman"/>
              <w:kern w:val="2"/>
              <w:sz w:val="28"/>
              <w:szCs w:val="28"/>
              <w:highlight w:val="yellow"/>
              <w:lang w:eastAsia="zh-CN"/>
            </w:rPr>
            <w:instrText xml:space="preserve"> HYPERLINK \l _Toc11945 </w:instrText>
          </w:r>
          <w:r>
            <w:rPr>
              <w:rFonts w:hint="default" w:ascii="Times New Roman" w:hAnsi="Times New Roman" w:eastAsia="仿宋_GB2312" w:cs="Times New Roman"/>
              <w:kern w:val="2"/>
              <w:sz w:val="28"/>
              <w:szCs w:val="28"/>
              <w:highlight w:val="yellow"/>
              <w:lang w:eastAsia="zh-CN"/>
            </w:rPr>
            <w:fldChar w:fldCharType="separate"/>
          </w:r>
          <w:r>
            <w:rPr>
              <w:rFonts w:hint="default" w:ascii="Times New Roman" w:hAnsi="Times New Roman" w:eastAsia="楷体_GB2312" w:cs="Times New Roman"/>
              <w:bCs w:val="0"/>
              <w:sz w:val="28"/>
              <w:szCs w:val="28"/>
              <w:highlight w:val="none"/>
              <w:lang w:val="en-US" w:eastAsia="zh-CN"/>
            </w:rPr>
            <w:t>（二）提高资金拨付率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_Toc11945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eastAsia="仿宋_GB2312" w:cs="Times New Roman"/>
              <w:kern w:val="2"/>
              <w:sz w:val="28"/>
              <w:szCs w:val="28"/>
              <w:highlight w:val="yellow"/>
              <w:lang w:eastAsia="zh-CN"/>
            </w:rPr>
            <w:fldChar w:fldCharType="end"/>
          </w:r>
        </w:p>
        <w:p>
          <w:pPr>
            <w:pStyle w:val="3"/>
            <w:pageBreakBefore w:val="0"/>
            <w:widowControl w:val="0"/>
            <w:kinsoku/>
            <w:wordWrap/>
            <w:overflowPunct/>
            <w:topLinePunct w:val="0"/>
            <w:autoSpaceDE/>
            <w:autoSpaceDN/>
            <w:bidi w:val="0"/>
            <w:adjustRightInd/>
            <w:snapToGrid w:val="0"/>
            <w:spacing w:before="0" w:after="0" w:line="360" w:lineRule="auto"/>
            <w:ind w:left="0" w:leftChars="0" w:firstLine="0" w:firstLineChars="0"/>
            <w:jc w:val="left"/>
            <w:textAlignment w:val="auto"/>
            <w:outlineLvl w:val="9"/>
            <w:rPr>
              <w:rFonts w:hint="default" w:ascii="Times New Roman" w:hAnsi="Times New Roman" w:eastAsia="黑体" w:cs="Times New Roman"/>
              <w:kern w:val="2"/>
              <w:sz w:val="28"/>
              <w:szCs w:val="28"/>
              <w:highlight w:val="yellow"/>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default" w:ascii="Times New Roman" w:hAnsi="Times New Roman" w:eastAsia="仿宋_GB2312" w:cs="Times New Roman"/>
              <w:kern w:val="2"/>
              <w:sz w:val="28"/>
              <w:szCs w:val="28"/>
              <w:highlight w:val="yellow"/>
              <w:lang w:eastAsia="zh-CN"/>
            </w:rPr>
            <w:fldChar w:fldCharType="end"/>
          </w:r>
        </w:p>
      </w:sdtContent>
    </w:sdt>
    <w:p>
      <w:pPr>
        <w:pStyle w:val="3"/>
        <w:pageBreakBefore w:val="0"/>
        <w:widowControl w:val="0"/>
        <w:shd w:val="clear"/>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0"/>
        <w:rPr>
          <w:rFonts w:hint="default" w:ascii="黑体" w:hAnsi="黑体" w:eastAsia="黑体" w:cs="黑体"/>
          <w:kern w:val="2"/>
          <w:sz w:val="32"/>
          <w:szCs w:val="32"/>
          <w:highlight w:val="none"/>
          <w:lang w:val="en-US"/>
        </w:rPr>
      </w:pPr>
      <w:bookmarkStart w:id="1" w:name="_Toc24941"/>
      <w:r>
        <w:rPr>
          <w:rFonts w:hint="eastAsia" w:ascii="黑体" w:hAnsi="黑体" w:eastAsia="黑体" w:cs="黑体"/>
          <w:kern w:val="2"/>
          <w:sz w:val="32"/>
          <w:szCs w:val="32"/>
          <w:highlight w:val="none"/>
          <w:lang w:eastAsia="zh-CN"/>
        </w:rPr>
        <w:t>一、</w:t>
      </w:r>
      <w:bookmarkEnd w:id="0"/>
      <w:r>
        <w:rPr>
          <w:rFonts w:hint="eastAsia" w:ascii="黑体" w:hAnsi="黑体" w:cs="黑体"/>
          <w:kern w:val="2"/>
          <w:sz w:val="32"/>
          <w:szCs w:val="32"/>
          <w:highlight w:val="none"/>
          <w:lang w:val="en-US" w:eastAsia="zh-CN"/>
        </w:rPr>
        <w:t>基本情况</w:t>
      </w:r>
      <w:bookmarkEnd w:id="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default" w:ascii="仿宋_GB2312" w:hAnsi="仿宋_GB2312" w:eastAsia="仿宋_GB2312" w:cs="仿宋_GB2312"/>
          <w:b w:val="0"/>
          <w:bCs w:val="0"/>
          <w:sz w:val="32"/>
          <w:szCs w:val="22"/>
          <w:highlight w:val="yellow"/>
          <w:lang w:val="en-US" w:eastAsia="zh-CN"/>
        </w:rPr>
      </w:pPr>
      <w:bookmarkStart w:id="2" w:name="_Toc27192"/>
      <w:r>
        <w:rPr>
          <w:rFonts w:hint="eastAsia" w:ascii="楷体_GB2312" w:hAnsi="楷体_GB2312" w:eastAsia="楷体_GB2312" w:cs="楷体_GB2312"/>
          <w:b w:val="0"/>
          <w:bCs w:val="0"/>
          <w:kern w:val="2"/>
          <w:sz w:val="32"/>
          <w:szCs w:val="32"/>
          <w:highlight w:val="none"/>
          <w:lang w:val="en-US" w:eastAsia="zh-CN" w:bidi="ar-SA"/>
        </w:rPr>
        <w:t>（一）项目概况</w:t>
      </w:r>
      <w:bookmarkEnd w:id="2"/>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1.项目背景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贯彻落实中央经济工作会议精神和党中央、国务院印发的《国家新型城镇化规划（2014-2020年）》、《关于建立健全城乡融合发展体制机制和政策体系的意见》，国家发改委印发了《2020年新型城镇化建设和城乡融合发展重点任务》，文件中明确提出“增加学位供给，健全以居住证为主要依据的随迁子女入学入园政策，使其在流入地享有普惠性学前教育”。为进一步完善本溪市明山区新型城镇化项目建设，为太子河经济开发区义务教育阶段提供必要保障，2016年2月本溪市明山区发展改革局对《本溪市威宁学校建设项目可行性研究报告》给予批复，2020年9月同意对《本溪市威宁学校建设项目可行性研究报告》进行有关调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sz w:val="32"/>
          <w:szCs w:val="2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2.项目实施内容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威宁学校规划用地面积5.08公顷，总建筑面积19611.82平方米，其中初中教学楼18个班面积为5300.6平方米、小学教学楼18个班面积为5377.3平方米、办公楼3168.6平方米、综合楼3516.3平方米、儿童活动中心1597.15平方米、校史馆161.32平方米，其它附属建筑490.53平方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default" w:ascii="楷体_GB2312" w:hAnsi="楷体_GB2312" w:eastAsia="楷体_GB2312" w:cs="楷体_GB2312"/>
          <w:b w:val="0"/>
          <w:bCs w:val="0"/>
          <w:kern w:val="2"/>
          <w:sz w:val="32"/>
          <w:szCs w:val="32"/>
          <w:highlight w:val="none"/>
          <w:lang w:val="en-US" w:eastAsia="zh-CN" w:bidi="ar-SA"/>
        </w:rPr>
      </w:pPr>
      <w:bookmarkStart w:id="3" w:name="_Toc28815"/>
      <w:r>
        <w:rPr>
          <w:rFonts w:hint="eastAsia" w:ascii="楷体_GB2312" w:hAnsi="楷体_GB2312" w:eastAsia="楷体_GB2312" w:cs="楷体_GB2312"/>
          <w:b w:val="0"/>
          <w:bCs w:val="0"/>
          <w:kern w:val="2"/>
          <w:sz w:val="32"/>
          <w:szCs w:val="32"/>
          <w:highlight w:val="none"/>
          <w:lang w:val="en-US" w:eastAsia="zh-CN" w:bidi="ar-SA"/>
        </w:rPr>
        <w:t>（二）资金投入及使用情况</w:t>
      </w:r>
      <w:bookmarkEnd w:id="3"/>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资金</w:t>
      </w:r>
      <w:r>
        <w:rPr>
          <w:rFonts w:hint="eastAsia" w:ascii="仿宋_GB2312" w:hAnsi="仿宋_GB2312" w:eastAsia="仿宋_GB2312" w:cs="仿宋_GB2312"/>
          <w:b/>
          <w:bCs/>
          <w:sz w:val="32"/>
          <w:szCs w:val="32"/>
          <w:highlight w:val="none"/>
          <w:lang w:val="en-US" w:eastAsia="zh-CN"/>
        </w:rPr>
        <w:t>投入</w:t>
      </w:r>
      <w:r>
        <w:rPr>
          <w:rFonts w:hint="eastAsia" w:ascii="仿宋_GB2312" w:hAnsi="仿宋_GB2312" w:eastAsia="仿宋_GB2312" w:cs="仿宋_GB2312"/>
          <w:b/>
          <w:bCs/>
          <w:sz w:val="32"/>
          <w:szCs w:val="32"/>
          <w:highlight w:val="none"/>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明山区新型城镇化建设项目（一期）威宁学校建设工程（以下简称“威宁学校建设工程”）总投资金额为6948万元，其中2021年度本溪市明山区财政局（以下简称“明山区财政局”）争取到辽宁省政府一般债券资金5000万元，债券发行期限为10年，票面利率为3.33%，利息每半年支付一次。其余资金为明山区财政局自筹资金。辽宁省财政厅将已发行2021年一般债券（一期）分两批次通过国库账户拨付至明山区财政局账户，其中5月13日下达3800万元、6月8日下达1200万元。</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明山区财政局分三批次将5000万元债券资金通过国库账户拨付至项目单位本溪市新城综合开发投资有限责任公司（以下简称“新城开发有限公司”）账户，其中5月19日下达3800万元、6月9日下达200万元、6月17日下达1000万元。</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此外，明山区财政局拨付新城开发有限公司项目自筹资金2560万元，其中2018年9月下达300万元、2019年1月下达700万元、2022年2月至2023年1月陆续下达1560万元。</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资金</w:t>
      </w:r>
      <w:r>
        <w:rPr>
          <w:rFonts w:hint="eastAsia" w:ascii="仿宋_GB2312" w:hAnsi="仿宋_GB2312" w:eastAsia="仿宋_GB2312" w:cs="仿宋_GB2312"/>
          <w:b/>
          <w:bCs/>
          <w:sz w:val="32"/>
          <w:szCs w:val="32"/>
          <w:highlight w:val="none"/>
          <w:lang w:val="en-US" w:eastAsia="zh-CN"/>
        </w:rPr>
        <w:t>使用</w:t>
      </w:r>
      <w:r>
        <w:rPr>
          <w:rFonts w:hint="eastAsia" w:ascii="仿宋_GB2312" w:hAnsi="仿宋_GB2312" w:eastAsia="仿宋_GB2312" w:cs="仿宋_GB2312"/>
          <w:b/>
          <w:bCs/>
          <w:sz w:val="32"/>
          <w:szCs w:val="32"/>
          <w:highlight w:val="none"/>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2023年1月底，威宁学校建设工程已支付工程费用款项5663万元、其它项目费用（包括监理、施工设计、审计、设备购置等）817.89万元，共计支付6480.89万元。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sz w:val="32"/>
          <w:szCs w:val="36"/>
          <w:highlight w:val="none"/>
        </w:rPr>
      </w:pPr>
      <w:bookmarkStart w:id="4" w:name="_Toc14035"/>
      <w:bookmarkStart w:id="5" w:name="_Toc518913906"/>
      <w:bookmarkStart w:id="6" w:name="_Toc10923"/>
      <w:bookmarkStart w:id="7" w:name="_Toc6113"/>
      <w:bookmarkStart w:id="8" w:name="_Toc18036"/>
      <w:bookmarkStart w:id="9" w:name="_Toc19610"/>
      <w:r>
        <w:rPr>
          <w:rFonts w:hint="eastAsia" w:ascii="黑体" w:hAnsi="黑体" w:eastAsia="黑体"/>
          <w:sz w:val="32"/>
          <w:szCs w:val="36"/>
          <w:highlight w:val="none"/>
        </w:rPr>
        <w:t>二、绩效评价工作</w:t>
      </w:r>
      <w:r>
        <w:rPr>
          <w:rFonts w:hint="eastAsia" w:ascii="黑体" w:hAnsi="黑体" w:eastAsia="黑体"/>
          <w:sz w:val="32"/>
          <w:szCs w:val="36"/>
          <w:highlight w:val="none"/>
          <w:lang w:val="en-US" w:eastAsia="zh-CN"/>
        </w:rPr>
        <w:t>开展</w:t>
      </w:r>
      <w:r>
        <w:rPr>
          <w:rFonts w:hint="eastAsia" w:ascii="黑体" w:hAnsi="黑体" w:eastAsia="黑体"/>
          <w:sz w:val="32"/>
          <w:szCs w:val="36"/>
          <w:highlight w:val="none"/>
        </w:rPr>
        <w:t>情况</w:t>
      </w:r>
      <w:bookmarkEnd w:id="4"/>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楷体_GB2312" w:hAnsi="楷体_GB2312" w:eastAsia="楷体_GB2312" w:cs="楷体_GB2312"/>
          <w:b w:val="0"/>
          <w:bCs w:val="0"/>
          <w:kern w:val="2"/>
          <w:sz w:val="32"/>
          <w:szCs w:val="32"/>
          <w:highlight w:val="none"/>
          <w:lang w:val="en-US" w:eastAsia="zh-CN" w:bidi="ar-SA"/>
        </w:rPr>
      </w:pPr>
      <w:bookmarkStart w:id="10" w:name="_Toc15150"/>
      <w:bookmarkStart w:id="11" w:name="_Toc23896"/>
      <w:bookmarkStart w:id="12" w:name="_Toc13747"/>
      <w:bookmarkStart w:id="13" w:name="_Toc15723"/>
      <w:bookmarkStart w:id="14" w:name="_Toc26079"/>
      <w:r>
        <w:rPr>
          <w:rFonts w:hint="eastAsia" w:ascii="楷体_GB2312" w:hAnsi="仿宋" w:eastAsia="楷体_GB2312"/>
          <w:b w:val="0"/>
          <w:bCs w:val="0"/>
          <w:sz w:val="32"/>
          <w:szCs w:val="32"/>
          <w:highlight w:val="none"/>
        </w:rPr>
        <w:t>（一）</w:t>
      </w:r>
      <w:r>
        <w:rPr>
          <w:rFonts w:hint="eastAsia" w:ascii="楷体_GB2312" w:hAnsi="仿宋" w:eastAsia="楷体_GB2312"/>
          <w:b w:val="0"/>
          <w:bCs w:val="0"/>
          <w:sz w:val="32"/>
          <w:szCs w:val="32"/>
          <w:highlight w:val="none"/>
          <w:lang w:val="en-US" w:eastAsia="zh-CN"/>
        </w:rPr>
        <w:t>绩效</w:t>
      </w:r>
      <w:r>
        <w:rPr>
          <w:rFonts w:hint="eastAsia" w:ascii="楷体_GB2312" w:hAnsi="仿宋" w:eastAsia="楷体_GB2312"/>
          <w:b w:val="0"/>
          <w:bCs w:val="0"/>
          <w:sz w:val="32"/>
          <w:szCs w:val="32"/>
          <w:highlight w:val="none"/>
        </w:rPr>
        <w:t>评价目的</w:t>
      </w:r>
      <w:bookmarkEnd w:id="10"/>
      <w:bookmarkEnd w:id="11"/>
      <w:bookmarkEnd w:id="12"/>
      <w:bookmarkEnd w:id="13"/>
      <w:r>
        <w:rPr>
          <w:rFonts w:hint="eastAsia" w:ascii="楷体_GB2312" w:hAnsi="仿宋" w:eastAsia="楷体_GB2312"/>
          <w:b w:val="0"/>
          <w:bCs w:val="0"/>
          <w:sz w:val="32"/>
          <w:szCs w:val="32"/>
          <w:highlight w:val="none"/>
          <w:lang w:val="en-US" w:eastAsia="zh-CN"/>
        </w:rPr>
        <w:t>及对象</w:t>
      </w:r>
      <w:bookmarkEnd w:id="14"/>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1.评价目的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通过对威宁学校建设工程的项目立项、资金管理、项目管理及资金使用情况等方面进行全面分析和综合评价，同时及时总结经验，分析存在问题，进一步加强和规范财政资金使用，充分发挥财政资金的使用效益。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outlineLvl w:val="9"/>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2.评价对象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楷体_GB2312" w:hAnsi="仿宋" w:eastAsia="楷体_GB2312"/>
          <w:b/>
          <w:bCs/>
          <w:sz w:val="32"/>
          <w:szCs w:val="32"/>
          <w:highlight w:val="none"/>
          <w:lang w:val="en-US" w:eastAsia="zh-CN"/>
        </w:rPr>
      </w:pPr>
      <w:r>
        <w:rPr>
          <w:rFonts w:hint="eastAsia" w:ascii="仿宋_GB2312" w:hAnsi="仿宋_GB2312" w:eastAsia="仿宋_GB2312" w:cs="仿宋_GB2312"/>
          <w:sz w:val="32"/>
          <w:szCs w:val="32"/>
          <w:lang w:val="en-US" w:eastAsia="zh-CN"/>
        </w:rPr>
        <w:t>本次绩效评价对象为本溪市明山区2021年度地方政府一般债券项目，共涉及省政府一般债券资金5000万元，涵盖项目为威宁学校建设工程。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楷体_GB2312" w:hAnsi="仿宋" w:eastAsia="楷体_GB2312"/>
          <w:b w:val="0"/>
          <w:bCs w:val="0"/>
          <w:sz w:val="32"/>
          <w:szCs w:val="32"/>
          <w:highlight w:val="none"/>
          <w:lang w:val="en-US" w:eastAsia="zh-CN"/>
        </w:rPr>
      </w:pPr>
      <w:bookmarkStart w:id="15" w:name="_Toc27168"/>
      <w:r>
        <w:rPr>
          <w:rFonts w:hint="eastAsia" w:ascii="楷体_GB2312" w:hAnsi="仿宋" w:eastAsia="楷体_GB2312"/>
          <w:b w:val="0"/>
          <w:bCs w:val="0"/>
          <w:sz w:val="32"/>
          <w:szCs w:val="32"/>
          <w:highlight w:val="none"/>
        </w:rPr>
        <w:t>（</w:t>
      </w:r>
      <w:r>
        <w:rPr>
          <w:rFonts w:hint="eastAsia" w:ascii="楷体_GB2312" w:hAnsi="仿宋" w:eastAsia="楷体_GB2312"/>
          <w:b w:val="0"/>
          <w:bCs w:val="0"/>
          <w:sz w:val="32"/>
          <w:szCs w:val="32"/>
          <w:highlight w:val="none"/>
          <w:lang w:val="en-US" w:eastAsia="zh-CN"/>
        </w:rPr>
        <w:t>二</w:t>
      </w:r>
      <w:r>
        <w:rPr>
          <w:rFonts w:hint="eastAsia" w:ascii="楷体_GB2312" w:hAnsi="仿宋" w:eastAsia="楷体_GB2312"/>
          <w:b w:val="0"/>
          <w:bCs w:val="0"/>
          <w:sz w:val="32"/>
          <w:szCs w:val="32"/>
          <w:highlight w:val="none"/>
        </w:rPr>
        <w:t>）</w:t>
      </w:r>
      <w:r>
        <w:rPr>
          <w:rFonts w:hint="eastAsia" w:ascii="楷体_GB2312" w:hAnsi="仿宋" w:eastAsia="楷体_GB2312"/>
          <w:b w:val="0"/>
          <w:bCs w:val="0"/>
          <w:sz w:val="32"/>
          <w:szCs w:val="32"/>
          <w:highlight w:val="none"/>
          <w:lang w:val="en-US" w:eastAsia="zh-CN"/>
        </w:rPr>
        <w:t>绩效</w:t>
      </w:r>
      <w:r>
        <w:rPr>
          <w:rFonts w:hint="eastAsia" w:ascii="楷体_GB2312" w:hAnsi="仿宋" w:eastAsia="楷体_GB2312"/>
          <w:b w:val="0"/>
          <w:bCs w:val="0"/>
          <w:sz w:val="32"/>
          <w:szCs w:val="32"/>
          <w:highlight w:val="none"/>
        </w:rPr>
        <w:t>评价</w:t>
      </w:r>
      <w:r>
        <w:rPr>
          <w:rFonts w:hint="eastAsia" w:ascii="楷体_GB2312" w:hAnsi="仿宋" w:eastAsia="楷体_GB2312"/>
          <w:b w:val="0"/>
          <w:bCs w:val="0"/>
          <w:sz w:val="32"/>
          <w:szCs w:val="32"/>
          <w:highlight w:val="none"/>
          <w:lang w:val="en-US" w:eastAsia="zh-CN"/>
        </w:rPr>
        <w:t>方法、</w:t>
      </w:r>
      <w:r>
        <w:rPr>
          <w:rFonts w:hint="eastAsia" w:ascii="楷体_GB2312" w:hAnsi="仿宋" w:eastAsia="楷体_GB2312"/>
          <w:b w:val="0"/>
          <w:bCs w:val="0"/>
          <w:sz w:val="32"/>
          <w:szCs w:val="32"/>
          <w:highlight w:val="none"/>
        </w:rPr>
        <w:t>评价</w:t>
      </w:r>
      <w:r>
        <w:rPr>
          <w:rFonts w:hint="eastAsia" w:ascii="楷体_GB2312" w:hAnsi="仿宋" w:eastAsia="楷体_GB2312"/>
          <w:b w:val="0"/>
          <w:bCs w:val="0"/>
          <w:sz w:val="32"/>
          <w:szCs w:val="32"/>
          <w:highlight w:val="none"/>
          <w:lang w:val="en-US" w:eastAsia="zh-CN"/>
        </w:rPr>
        <w:t>指标及评分标准</w:t>
      </w:r>
      <w:bookmarkEnd w:id="15"/>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仿宋_GB2312" w:hAnsi="仿宋_GB2312" w:eastAsia="仿宋_GB2312" w:cs="仿宋_GB2312"/>
          <w:b/>
          <w:bCs/>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1.评价方法</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本次评价采用全面评价和重点评价相结合的方式，使用（但不限于）成本效益分析法、案卷研究法和座谈访谈法进行综合评价。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outlineLvl w:val="9"/>
        <w:rPr>
          <w:rFonts w:hint="eastAsia" w:ascii="楷体_GB2312" w:hAnsi="仿宋" w:eastAsia="楷体_GB2312"/>
          <w:b/>
          <w:bCs/>
          <w:sz w:val="32"/>
          <w:szCs w:val="32"/>
          <w:highlight w:val="none"/>
          <w:lang w:val="en-US" w:eastAsia="zh-CN"/>
        </w:rPr>
      </w:pPr>
      <w:r>
        <w:rPr>
          <w:rFonts w:hint="eastAsia" w:ascii="楷体_GB2312" w:hAnsi="仿宋" w:eastAsia="楷体_GB2312"/>
          <w:b/>
          <w:bCs/>
          <w:sz w:val="32"/>
          <w:szCs w:val="32"/>
          <w:highlight w:val="none"/>
          <w:lang w:val="en-US" w:eastAsia="zh-CN"/>
        </w:rPr>
        <w:t>2.</w:t>
      </w:r>
      <w:r>
        <w:rPr>
          <w:rFonts w:hint="eastAsia" w:ascii="楷体_GB2312" w:hAnsi="仿宋" w:eastAsia="楷体_GB2312"/>
          <w:b/>
          <w:bCs/>
          <w:sz w:val="32"/>
          <w:szCs w:val="32"/>
          <w:highlight w:val="none"/>
        </w:rPr>
        <w:t>评价</w:t>
      </w:r>
      <w:r>
        <w:rPr>
          <w:rFonts w:hint="eastAsia" w:ascii="楷体_GB2312" w:hAnsi="仿宋" w:eastAsia="楷体_GB2312"/>
          <w:b/>
          <w:bCs/>
          <w:sz w:val="32"/>
          <w:szCs w:val="32"/>
          <w:highlight w:val="none"/>
          <w:lang w:val="en-US" w:eastAsia="zh-CN"/>
        </w:rPr>
        <w:t>指标及评分标准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（1）评价指标体系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bidi="ar-SA"/>
        </w:rPr>
        <w:t>该项目</w:t>
      </w:r>
      <w:r>
        <w:rPr>
          <w:rFonts w:hint="eastAsia" w:ascii="仿宋_GB2312" w:hAnsi="仿宋_GB2312" w:eastAsia="仿宋_GB2312" w:cs="仿宋_GB2312"/>
          <w:sz w:val="32"/>
          <w:szCs w:val="32"/>
          <w:highlight w:val="none"/>
          <w:lang w:val="en-US" w:eastAsia="zh-Hans" w:bidi="ar-SA"/>
        </w:rPr>
        <w:t>绩效评价指标体系包括4项一级指标、1</w:t>
      </w:r>
      <w:r>
        <w:rPr>
          <w:rFonts w:hint="eastAsia" w:ascii="仿宋_GB2312" w:hAnsi="仿宋_GB2312" w:eastAsia="仿宋_GB2312" w:cs="仿宋_GB2312"/>
          <w:sz w:val="32"/>
          <w:szCs w:val="32"/>
          <w:highlight w:val="none"/>
          <w:lang w:val="en-US" w:eastAsia="zh-CN" w:bidi="ar-SA"/>
        </w:rPr>
        <w:t>4</w:t>
      </w:r>
      <w:r>
        <w:rPr>
          <w:rFonts w:hint="eastAsia" w:ascii="仿宋_GB2312" w:hAnsi="仿宋_GB2312" w:eastAsia="仿宋_GB2312" w:cs="仿宋_GB2312"/>
          <w:sz w:val="32"/>
          <w:szCs w:val="32"/>
          <w:highlight w:val="none"/>
          <w:lang w:val="en-US" w:eastAsia="zh-Hans" w:bidi="ar-SA"/>
        </w:rPr>
        <w:t>项二级指标、2</w:t>
      </w: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sz w:val="32"/>
          <w:szCs w:val="32"/>
          <w:highlight w:val="none"/>
          <w:lang w:val="en-US" w:eastAsia="zh-Hans" w:bidi="ar-SA"/>
        </w:rPr>
        <w:t>项三级指标，指标分值满分为100分。指标围绕决策、过程、产出和效益四个维度进行评价：</w:t>
      </w:r>
      <w:r>
        <w:rPr>
          <w:rFonts w:hint="eastAsia" w:ascii="仿宋_GB2312" w:hAnsi="仿宋_GB2312" w:eastAsia="仿宋_GB2312" w:cs="仿宋_GB2312"/>
          <w:b/>
          <w:bCs/>
          <w:sz w:val="32"/>
          <w:szCs w:val="32"/>
          <w:highlight w:val="none"/>
          <w:lang w:val="en-US" w:eastAsia="zh-Hans" w:bidi="ar-SA"/>
        </w:rPr>
        <w:t>一是决策（</w:t>
      </w:r>
      <w:r>
        <w:rPr>
          <w:rFonts w:hint="eastAsia" w:ascii="仿宋_GB2312" w:hAnsi="仿宋_GB2312" w:eastAsia="仿宋_GB2312" w:cs="仿宋_GB2312"/>
          <w:b/>
          <w:bCs/>
          <w:sz w:val="32"/>
          <w:szCs w:val="32"/>
          <w:highlight w:val="none"/>
          <w:lang w:val="en-US" w:eastAsia="zh-CN" w:bidi="ar-SA"/>
        </w:rPr>
        <w:t>20</w:t>
      </w:r>
      <w:r>
        <w:rPr>
          <w:rFonts w:hint="eastAsia" w:ascii="仿宋_GB2312" w:hAnsi="仿宋_GB2312" w:eastAsia="仿宋_GB2312" w:cs="仿宋_GB2312"/>
          <w:b/>
          <w:bCs/>
          <w:sz w:val="32"/>
          <w:szCs w:val="32"/>
          <w:highlight w:val="none"/>
          <w:lang w:val="en-US" w:eastAsia="zh-Hans" w:bidi="ar-SA"/>
        </w:rPr>
        <w:t>分）</w:t>
      </w:r>
      <w:r>
        <w:rPr>
          <w:rFonts w:hint="eastAsia" w:ascii="仿宋_GB2312" w:hAnsi="仿宋_GB2312" w:eastAsia="仿宋_GB2312" w:cs="仿宋_GB2312"/>
          <w:sz w:val="32"/>
          <w:szCs w:val="32"/>
          <w:highlight w:val="none"/>
          <w:lang w:val="en-US" w:eastAsia="zh-Hans" w:bidi="ar-SA"/>
        </w:rPr>
        <w:t>，主要评价项目决策</w:t>
      </w:r>
      <w:r>
        <w:rPr>
          <w:rFonts w:hint="eastAsia" w:ascii="仿宋_GB2312" w:hAnsi="仿宋_GB2312" w:eastAsia="仿宋_GB2312" w:cs="仿宋_GB2312"/>
          <w:sz w:val="32"/>
          <w:szCs w:val="32"/>
          <w:highlight w:val="none"/>
          <w:lang w:val="en-US" w:eastAsia="zh-CN" w:bidi="ar-SA"/>
        </w:rPr>
        <w:t>和资金投入</w:t>
      </w:r>
      <w:r>
        <w:rPr>
          <w:rFonts w:hint="eastAsia" w:ascii="仿宋_GB2312" w:hAnsi="仿宋_GB2312" w:eastAsia="仿宋_GB2312" w:cs="仿宋_GB2312"/>
          <w:sz w:val="32"/>
          <w:szCs w:val="32"/>
          <w:highlight w:val="none"/>
          <w:lang w:val="en-US" w:eastAsia="zh-Hans" w:bidi="ar-SA"/>
        </w:rPr>
        <w:t>情况；</w:t>
      </w:r>
      <w:r>
        <w:rPr>
          <w:rFonts w:hint="eastAsia" w:ascii="仿宋_GB2312" w:hAnsi="仿宋_GB2312" w:eastAsia="仿宋_GB2312" w:cs="仿宋_GB2312"/>
          <w:b/>
          <w:bCs/>
          <w:sz w:val="32"/>
          <w:szCs w:val="32"/>
          <w:highlight w:val="none"/>
          <w:lang w:val="en-US" w:eastAsia="zh-Hans" w:bidi="ar-SA"/>
        </w:rPr>
        <w:t>二是过程（</w:t>
      </w:r>
      <w:r>
        <w:rPr>
          <w:rFonts w:hint="eastAsia" w:ascii="仿宋_GB2312" w:hAnsi="仿宋_GB2312" w:eastAsia="仿宋_GB2312" w:cs="仿宋_GB2312"/>
          <w:b/>
          <w:bCs/>
          <w:sz w:val="32"/>
          <w:szCs w:val="32"/>
          <w:highlight w:val="none"/>
          <w:lang w:val="en-US" w:eastAsia="zh-CN" w:bidi="ar-SA"/>
        </w:rPr>
        <w:t>35</w:t>
      </w:r>
      <w:r>
        <w:rPr>
          <w:rFonts w:hint="eastAsia" w:ascii="仿宋_GB2312" w:hAnsi="仿宋_GB2312" w:eastAsia="仿宋_GB2312" w:cs="仿宋_GB2312"/>
          <w:b/>
          <w:bCs/>
          <w:sz w:val="32"/>
          <w:szCs w:val="32"/>
          <w:highlight w:val="none"/>
          <w:lang w:val="en-US" w:eastAsia="zh-Hans" w:bidi="ar-SA"/>
        </w:rPr>
        <w:t>分）</w:t>
      </w:r>
      <w:r>
        <w:rPr>
          <w:rFonts w:hint="eastAsia" w:ascii="仿宋_GB2312" w:hAnsi="仿宋_GB2312" w:eastAsia="仿宋_GB2312" w:cs="仿宋_GB2312"/>
          <w:sz w:val="32"/>
          <w:szCs w:val="32"/>
          <w:highlight w:val="none"/>
          <w:lang w:val="en-US" w:eastAsia="zh-Hans" w:bidi="ar-SA"/>
        </w:rPr>
        <w:t>，主要</w:t>
      </w:r>
      <w:r>
        <w:rPr>
          <w:rFonts w:hint="eastAsia" w:ascii="仿宋_GB2312" w:hAnsi="仿宋_GB2312" w:eastAsia="仿宋_GB2312" w:cs="仿宋_GB2312"/>
          <w:sz w:val="32"/>
          <w:szCs w:val="32"/>
          <w:highlight w:val="none"/>
          <w:lang w:val="en-US" w:eastAsia="zh-CN" w:bidi="ar-SA"/>
        </w:rPr>
        <w:t>评价</w:t>
      </w:r>
      <w:r>
        <w:rPr>
          <w:rFonts w:hint="eastAsia" w:ascii="仿宋_GB2312" w:hAnsi="仿宋_GB2312" w:eastAsia="仿宋_GB2312" w:cs="仿宋_GB2312"/>
          <w:sz w:val="32"/>
          <w:szCs w:val="32"/>
          <w:highlight w:val="none"/>
          <w:lang w:val="en-US" w:eastAsia="zh-Hans" w:bidi="ar-SA"/>
        </w:rPr>
        <w:t>项目的制度</w:t>
      </w:r>
      <w:r>
        <w:rPr>
          <w:rFonts w:hint="eastAsia" w:ascii="仿宋_GB2312" w:hAnsi="仿宋_GB2312" w:eastAsia="仿宋_GB2312" w:cs="仿宋_GB2312"/>
          <w:sz w:val="32"/>
          <w:szCs w:val="32"/>
          <w:highlight w:val="none"/>
          <w:lang w:val="en-US" w:eastAsia="zh-CN" w:bidi="ar-SA"/>
        </w:rPr>
        <w:t>管理</w:t>
      </w:r>
      <w:r>
        <w:rPr>
          <w:rFonts w:hint="eastAsia" w:ascii="仿宋_GB2312" w:hAnsi="仿宋_GB2312" w:eastAsia="仿宋_GB2312" w:cs="仿宋_GB2312"/>
          <w:sz w:val="32"/>
          <w:szCs w:val="32"/>
          <w:highlight w:val="none"/>
          <w:lang w:val="en-US" w:eastAsia="zh-Hans" w:bidi="ar-SA"/>
        </w:rPr>
        <w:t>、资金到位、</w:t>
      </w:r>
      <w:r>
        <w:rPr>
          <w:rFonts w:hint="eastAsia" w:ascii="仿宋_GB2312" w:hAnsi="仿宋_GB2312" w:eastAsia="仿宋_GB2312" w:cs="仿宋_GB2312"/>
          <w:sz w:val="32"/>
          <w:szCs w:val="32"/>
          <w:highlight w:val="none"/>
          <w:lang w:val="en-US" w:eastAsia="zh-CN" w:bidi="ar-SA"/>
        </w:rPr>
        <w:t>资金支出进度、</w:t>
      </w:r>
      <w:r>
        <w:rPr>
          <w:rFonts w:hint="eastAsia" w:ascii="仿宋_GB2312" w:hAnsi="仿宋_GB2312" w:eastAsia="仿宋_GB2312" w:cs="仿宋_GB2312"/>
          <w:sz w:val="32"/>
          <w:szCs w:val="32"/>
          <w:highlight w:val="none"/>
          <w:lang w:val="en-US" w:eastAsia="zh-Hans" w:bidi="ar-SA"/>
        </w:rPr>
        <w:t>使用规范性以及</w:t>
      </w:r>
      <w:r>
        <w:rPr>
          <w:rFonts w:hint="eastAsia" w:ascii="仿宋_GB2312" w:hAnsi="仿宋_GB2312" w:eastAsia="仿宋_GB2312" w:cs="仿宋_GB2312"/>
          <w:sz w:val="32"/>
          <w:szCs w:val="32"/>
          <w:highlight w:val="none"/>
          <w:lang w:val="en-US" w:eastAsia="zh-CN" w:bidi="ar-SA"/>
        </w:rPr>
        <w:t>项目管理</w:t>
      </w:r>
      <w:r>
        <w:rPr>
          <w:rFonts w:hint="eastAsia" w:ascii="仿宋_GB2312" w:hAnsi="仿宋_GB2312" w:eastAsia="仿宋_GB2312" w:cs="仿宋_GB2312"/>
          <w:sz w:val="32"/>
          <w:szCs w:val="32"/>
          <w:highlight w:val="none"/>
          <w:lang w:val="en-US" w:eastAsia="zh-Hans" w:bidi="ar-SA"/>
        </w:rPr>
        <w:t>等关键环节；</w:t>
      </w:r>
      <w:r>
        <w:rPr>
          <w:rFonts w:hint="eastAsia" w:ascii="仿宋_GB2312" w:hAnsi="仿宋_GB2312" w:eastAsia="仿宋_GB2312" w:cs="仿宋_GB2312"/>
          <w:b/>
          <w:bCs/>
          <w:sz w:val="32"/>
          <w:szCs w:val="32"/>
          <w:highlight w:val="none"/>
          <w:lang w:val="en-US" w:eastAsia="zh-Hans" w:bidi="ar-SA"/>
        </w:rPr>
        <w:t>三是产出（</w:t>
      </w:r>
      <w:r>
        <w:rPr>
          <w:rFonts w:hint="eastAsia" w:ascii="仿宋_GB2312" w:hAnsi="仿宋_GB2312" w:eastAsia="仿宋_GB2312" w:cs="仿宋_GB2312"/>
          <w:b/>
          <w:bCs/>
          <w:sz w:val="32"/>
          <w:szCs w:val="32"/>
          <w:highlight w:val="none"/>
          <w:lang w:val="en-US" w:eastAsia="zh-CN" w:bidi="ar-SA"/>
        </w:rPr>
        <w:t>25</w:t>
      </w:r>
      <w:r>
        <w:rPr>
          <w:rFonts w:hint="eastAsia" w:ascii="仿宋_GB2312" w:hAnsi="仿宋_GB2312" w:eastAsia="仿宋_GB2312" w:cs="仿宋_GB2312"/>
          <w:b/>
          <w:bCs/>
          <w:sz w:val="32"/>
          <w:szCs w:val="32"/>
          <w:highlight w:val="none"/>
          <w:lang w:val="en-US" w:eastAsia="zh-Hans" w:bidi="ar-SA"/>
        </w:rPr>
        <w:t>分）</w:t>
      </w:r>
      <w:r>
        <w:rPr>
          <w:rFonts w:hint="eastAsia" w:ascii="仿宋_GB2312" w:hAnsi="仿宋_GB2312" w:eastAsia="仿宋_GB2312" w:cs="仿宋_GB2312"/>
          <w:sz w:val="32"/>
          <w:szCs w:val="32"/>
          <w:highlight w:val="none"/>
          <w:lang w:val="en-US" w:eastAsia="zh-Hans" w:bidi="ar-SA"/>
        </w:rPr>
        <w:t>，主要评价</w:t>
      </w:r>
      <w:r>
        <w:rPr>
          <w:rFonts w:hint="eastAsia" w:ascii="仿宋_GB2312" w:hAnsi="仿宋_GB2312" w:eastAsia="仿宋_GB2312" w:cs="仿宋_GB2312"/>
          <w:sz w:val="32"/>
          <w:szCs w:val="32"/>
          <w:highlight w:val="none"/>
          <w:lang w:val="en-US" w:eastAsia="zh-CN" w:bidi="ar-SA"/>
        </w:rPr>
        <w:t>学校建设情况、项目验收合格率、资金拨付及时性、完成及时率及成本控制情况等</w:t>
      </w:r>
      <w:r>
        <w:rPr>
          <w:rFonts w:hint="eastAsia" w:ascii="仿宋_GB2312" w:hAnsi="仿宋_GB2312" w:eastAsia="仿宋_GB2312" w:cs="仿宋_GB2312"/>
          <w:sz w:val="32"/>
          <w:szCs w:val="32"/>
          <w:highlight w:val="none"/>
          <w:lang w:val="en-US" w:eastAsia="zh-Hans" w:bidi="ar-SA"/>
        </w:rPr>
        <w:t>；</w:t>
      </w:r>
      <w:r>
        <w:rPr>
          <w:rFonts w:hint="eastAsia" w:ascii="仿宋_GB2312" w:hAnsi="仿宋_GB2312" w:eastAsia="仿宋_GB2312" w:cs="仿宋_GB2312"/>
          <w:b/>
          <w:bCs/>
          <w:sz w:val="32"/>
          <w:szCs w:val="32"/>
          <w:highlight w:val="none"/>
          <w:lang w:val="en-US" w:eastAsia="zh-Hans" w:bidi="ar-SA"/>
        </w:rPr>
        <w:t>四是效益（</w:t>
      </w:r>
      <w:r>
        <w:rPr>
          <w:rFonts w:hint="eastAsia" w:ascii="仿宋_GB2312" w:hAnsi="仿宋_GB2312" w:eastAsia="仿宋_GB2312" w:cs="仿宋_GB2312"/>
          <w:b/>
          <w:bCs/>
          <w:sz w:val="32"/>
          <w:szCs w:val="32"/>
          <w:highlight w:val="none"/>
          <w:lang w:val="en-US" w:eastAsia="zh-CN" w:bidi="ar-SA"/>
        </w:rPr>
        <w:t>20</w:t>
      </w:r>
      <w:r>
        <w:rPr>
          <w:rFonts w:hint="eastAsia" w:ascii="仿宋_GB2312" w:hAnsi="仿宋_GB2312" w:eastAsia="仿宋_GB2312" w:cs="仿宋_GB2312"/>
          <w:b/>
          <w:bCs/>
          <w:sz w:val="32"/>
          <w:szCs w:val="32"/>
          <w:highlight w:val="none"/>
          <w:lang w:val="en-US" w:eastAsia="zh-Hans" w:bidi="ar-SA"/>
        </w:rPr>
        <w:t>分）</w:t>
      </w:r>
      <w:r>
        <w:rPr>
          <w:rFonts w:hint="eastAsia" w:ascii="仿宋_GB2312" w:hAnsi="仿宋_GB2312" w:eastAsia="仿宋_GB2312" w:cs="仿宋_GB2312"/>
          <w:sz w:val="32"/>
          <w:szCs w:val="32"/>
          <w:highlight w:val="none"/>
          <w:lang w:val="en-US" w:eastAsia="zh-Hans" w:bidi="ar-SA"/>
        </w:rPr>
        <w:t>，主要评价项目所产生的</w:t>
      </w:r>
      <w:r>
        <w:rPr>
          <w:rFonts w:hint="eastAsia" w:ascii="仿宋_GB2312" w:hAnsi="仿宋_GB2312" w:eastAsia="仿宋_GB2312" w:cs="仿宋_GB2312"/>
          <w:sz w:val="32"/>
          <w:szCs w:val="32"/>
          <w:highlight w:val="none"/>
          <w:lang w:val="en-US" w:eastAsia="zh-CN" w:bidi="ar-SA"/>
        </w:rPr>
        <w:t>经济效益、社会</w:t>
      </w:r>
      <w:r>
        <w:rPr>
          <w:rFonts w:hint="eastAsia" w:ascii="仿宋_GB2312" w:hAnsi="仿宋_GB2312" w:eastAsia="仿宋_GB2312" w:cs="仿宋_GB2312"/>
          <w:sz w:val="32"/>
          <w:szCs w:val="32"/>
          <w:highlight w:val="none"/>
          <w:lang w:val="en-US" w:eastAsia="zh-Hans" w:bidi="ar-SA"/>
        </w:rPr>
        <w:t>效益、</w:t>
      </w:r>
      <w:r>
        <w:rPr>
          <w:rFonts w:hint="eastAsia" w:ascii="仿宋_GB2312" w:hAnsi="仿宋_GB2312" w:eastAsia="仿宋_GB2312" w:cs="仿宋_GB2312"/>
          <w:sz w:val="32"/>
          <w:szCs w:val="32"/>
          <w:highlight w:val="none"/>
          <w:lang w:val="en-US" w:eastAsia="zh-CN" w:bidi="ar-SA"/>
        </w:rPr>
        <w:t>生态效益、可持续影响</w:t>
      </w:r>
      <w:r>
        <w:rPr>
          <w:rFonts w:hint="eastAsia" w:ascii="仿宋_GB2312" w:hAnsi="仿宋_GB2312" w:eastAsia="仿宋_GB2312" w:cs="仿宋_GB2312"/>
          <w:sz w:val="32"/>
          <w:szCs w:val="32"/>
          <w:highlight w:val="none"/>
          <w:lang w:val="en-US" w:eastAsia="zh-Hans" w:bidi="ar-SA"/>
        </w:rPr>
        <w:t>以及</w:t>
      </w:r>
      <w:r>
        <w:rPr>
          <w:rFonts w:hint="eastAsia" w:ascii="仿宋_GB2312" w:hAnsi="仿宋_GB2312" w:eastAsia="仿宋_GB2312" w:cs="仿宋_GB2312"/>
          <w:sz w:val="32"/>
          <w:szCs w:val="32"/>
          <w:highlight w:val="none"/>
          <w:lang w:val="en-US" w:eastAsia="zh-CN" w:bidi="ar-SA"/>
        </w:rPr>
        <w:t>满意度情况</w:t>
      </w:r>
      <w:r>
        <w:rPr>
          <w:rFonts w:hint="eastAsia" w:ascii="仿宋_GB2312" w:hAnsi="仿宋_GB2312" w:eastAsia="仿宋_GB2312" w:cs="仿宋_GB2312"/>
          <w:sz w:val="32"/>
          <w:szCs w:val="32"/>
          <w:highlight w:val="none"/>
          <w:lang w:val="en-US" w:eastAsia="zh-Hans" w:bidi="ar-SA"/>
        </w:rPr>
        <w:t>。（</w:t>
      </w:r>
      <w:r>
        <w:rPr>
          <w:rFonts w:hint="eastAsia" w:ascii="仿宋_GB2312" w:hAnsi="仿宋_GB2312" w:eastAsia="仿宋_GB2312" w:cs="仿宋_GB2312"/>
          <w:sz w:val="32"/>
          <w:szCs w:val="32"/>
          <w:highlight w:val="none"/>
          <w:lang w:val="en-US" w:eastAsia="zh-CN" w:bidi="ar-SA"/>
        </w:rPr>
        <w:t>见表2-1，</w:t>
      </w:r>
      <w:r>
        <w:rPr>
          <w:rFonts w:hint="eastAsia" w:ascii="仿宋_GB2312" w:hAnsi="仿宋_GB2312" w:eastAsia="仿宋_GB2312" w:cs="仿宋_GB2312"/>
          <w:sz w:val="32"/>
          <w:szCs w:val="32"/>
          <w:highlight w:val="none"/>
          <w:lang w:val="en-US" w:eastAsia="zh-Hans" w:bidi="ar-SA"/>
        </w:rPr>
        <w:t>详见附件1）</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center"/>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sz w:val="24"/>
          <w:szCs w:val="24"/>
          <w:highlight w:val="none"/>
        </w:rPr>
        <w:t>表</w:t>
      </w:r>
      <w:r>
        <w:rPr>
          <w:rFonts w:hint="eastAsia" w:ascii="黑体" w:hAnsi="黑体" w:eastAsia="黑体" w:cs="黑体"/>
          <w:sz w:val="24"/>
          <w:szCs w:val="24"/>
          <w:highlight w:val="none"/>
          <w:lang w:val="en-US" w:eastAsia="zh-CN"/>
        </w:rPr>
        <w:t>2-1</w:t>
      </w:r>
      <w:r>
        <w:rPr>
          <w:rFonts w:hint="eastAsia" w:ascii="黑体" w:hAnsi="黑体" w:eastAsia="黑体" w:cs="黑体"/>
          <w:sz w:val="24"/>
          <w:szCs w:val="24"/>
          <w:highlight w:val="none"/>
        </w:rPr>
        <w:t xml:space="preserve"> </w:t>
      </w:r>
      <w:r>
        <w:rPr>
          <w:rFonts w:hint="eastAsia" w:ascii="黑体" w:hAnsi="黑体" w:eastAsia="黑体" w:cs="黑体"/>
          <w:sz w:val="24"/>
          <w:szCs w:val="24"/>
          <w:highlight w:val="none"/>
          <w:lang w:val="en-US" w:eastAsia="zh-CN"/>
        </w:rPr>
        <w:t>威宁学校建设工程</w:t>
      </w:r>
      <w:r>
        <w:rPr>
          <w:rFonts w:hint="eastAsia" w:ascii="黑体" w:hAnsi="黑体" w:eastAsia="黑体" w:cs="黑体"/>
          <w:sz w:val="24"/>
          <w:szCs w:val="24"/>
          <w:highlight w:val="none"/>
        </w:rPr>
        <w:t>绩效评价指标体系</w:t>
      </w:r>
    </w:p>
    <w:tbl>
      <w:tblPr>
        <w:tblStyle w:val="12"/>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270"/>
        <w:gridCol w:w="1756"/>
        <w:gridCol w:w="331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378" w:type="pct"/>
            <w:shd w:val="clear" w:color="auto" w:fill="FFFFFF"/>
            <w:noWrap/>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序号</w:t>
            </w:r>
          </w:p>
        </w:tc>
        <w:tc>
          <w:tcPr>
            <w:tcW w:w="762" w:type="pct"/>
            <w:shd w:val="clear" w:color="auto" w:fill="FFFFFF"/>
            <w:noWrap/>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一级指标</w:t>
            </w:r>
          </w:p>
        </w:tc>
        <w:tc>
          <w:tcPr>
            <w:tcW w:w="1054" w:type="pct"/>
            <w:shd w:val="clear" w:color="auto" w:fill="FFFFFF"/>
            <w:noWrap/>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二级指标</w:t>
            </w:r>
          </w:p>
        </w:tc>
        <w:tc>
          <w:tcPr>
            <w:tcW w:w="1991" w:type="pct"/>
            <w:shd w:val="clear" w:color="auto" w:fill="FFFFFF"/>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三级指标</w:t>
            </w:r>
          </w:p>
        </w:tc>
        <w:tc>
          <w:tcPr>
            <w:tcW w:w="812" w:type="pct"/>
            <w:shd w:val="clear" w:color="auto" w:fill="FFFFFF"/>
            <w:noWrap/>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378" w:type="pct"/>
            <w:shd w:val="clear" w:color="auto" w:fill="FFFFFF"/>
            <w:noWrap/>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762" w:type="pct"/>
            <w:vMerge w:val="restar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决策</w:t>
            </w:r>
          </w:p>
          <w:p>
            <w:pPr>
              <w:widowControl/>
              <w:jc w:val="center"/>
              <w:textAlignment w:val="center"/>
              <w:rPr>
                <w:rFonts w:hint="eastAsia" w:eastAsia="宋体"/>
                <w:highlight w:val="none"/>
                <w:lang w:eastAsia="zh-CN"/>
              </w:rPr>
            </w:pP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val="en-US" w:eastAsia="zh-CN" w:bidi="ar"/>
              </w:rPr>
              <w:t>20</w:t>
            </w:r>
            <w:r>
              <w:rPr>
                <w:rFonts w:hint="eastAsia" w:ascii="宋体" w:hAnsi="宋体" w:cs="宋体"/>
                <w:color w:val="000000"/>
                <w:kern w:val="0"/>
                <w:sz w:val="20"/>
                <w:szCs w:val="20"/>
                <w:highlight w:val="none"/>
                <w:lang w:eastAsia="zh-CN" w:bidi="ar"/>
              </w:rPr>
              <w:t>）</w:t>
            </w:r>
          </w:p>
        </w:tc>
        <w:tc>
          <w:tcPr>
            <w:tcW w:w="1054" w:type="pct"/>
            <w:vMerge w:val="restar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项目</w:t>
            </w:r>
            <w:r>
              <w:rPr>
                <w:rFonts w:hint="eastAsia" w:ascii="宋体" w:hAnsi="宋体" w:cs="宋体"/>
                <w:color w:val="000000"/>
                <w:kern w:val="0"/>
                <w:sz w:val="20"/>
                <w:szCs w:val="20"/>
                <w:highlight w:val="none"/>
                <w:lang w:bidi="ar"/>
              </w:rPr>
              <w:t>决策</w:t>
            </w: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立项依据充分性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378" w:type="pct"/>
            <w:shd w:val="clear" w:color="auto" w:fill="FFFFFF"/>
            <w:noWrap/>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立项程序规范性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378" w:type="pct"/>
            <w:shd w:val="clear" w:color="auto" w:fill="FFFFFF"/>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restar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资金投入</w:t>
            </w: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资金申请</w:t>
            </w:r>
            <w:r>
              <w:rPr>
                <w:rFonts w:hint="eastAsia" w:ascii="宋体" w:hAnsi="宋体" w:cs="宋体"/>
                <w:color w:val="000000"/>
                <w:kern w:val="0"/>
                <w:sz w:val="20"/>
                <w:szCs w:val="20"/>
                <w:highlight w:val="none"/>
                <w:lang w:bidi="ar"/>
              </w:rPr>
              <w:t>科学性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378" w:type="pct"/>
            <w:shd w:val="clear" w:color="auto" w:fill="FFFFFF"/>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资金分配合理性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378" w:type="pct"/>
            <w:shd w:val="clear" w:color="auto" w:fill="FFFFFF"/>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c>
          <w:tcPr>
            <w:tcW w:w="762" w:type="pct"/>
            <w:vMerge w:val="restar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过程</w:t>
            </w:r>
          </w:p>
          <w:p>
            <w:pPr>
              <w:widowControl/>
              <w:jc w:val="center"/>
              <w:textAlignment w:val="center"/>
              <w:rPr>
                <w:rFonts w:hint="eastAsia" w:eastAsia="宋体"/>
                <w:highlight w:val="none"/>
                <w:lang w:eastAsia="zh-CN"/>
              </w:rPr>
            </w:pPr>
            <w:r>
              <w:rPr>
                <w:rFonts w:hint="eastAsia" w:ascii="宋体" w:hAnsi="宋体" w:cs="宋体"/>
                <w:color w:val="000000"/>
                <w:kern w:val="0"/>
                <w:sz w:val="20"/>
                <w:szCs w:val="20"/>
                <w:highlight w:val="none"/>
                <w:lang w:val="en-US" w:eastAsia="zh-CN" w:bidi="ar"/>
              </w:rPr>
              <w:t>（40）</w:t>
            </w:r>
          </w:p>
        </w:tc>
        <w:tc>
          <w:tcPr>
            <w:tcW w:w="1054" w:type="pct"/>
            <w:vMerge w:val="restar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组织实施</w:t>
            </w: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管理</w:t>
            </w:r>
            <w:r>
              <w:rPr>
                <w:rFonts w:hint="eastAsia" w:ascii="宋体" w:hAnsi="宋体" w:cs="宋体"/>
                <w:color w:val="000000"/>
                <w:kern w:val="0"/>
                <w:sz w:val="20"/>
                <w:szCs w:val="20"/>
                <w:highlight w:val="none"/>
                <w:lang w:bidi="ar"/>
              </w:rPr>
              <w:t>制度健全性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378" w:type="pct"/>
            <w:shd w:val="clear" w:color="auto" w:fill="FFFFFF"/>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财务制度健全</w:t>
            </w:r>
            <w:r>
              <w:rPr>
                <w:rFonts w:hint="eastAsia" w:ascii="宋体" w:hAnsi="宋体" w:cs="宋体"/>
                <w:color w:val="000000"/>
                <w:kern w:val="0"/>
                <w:sz w:val="20"/>
                <w:szCs w:val="20"/>
                <w:highlight w:val="none"/>
                <w:lang w:bidi="ar"/>
              </w:rPr>
              <w:t>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378" w:type="pct"/>
            <w:shd w:val="clear" w:color="auto" w:fill="FFFFFF"/>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restar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资金管理</w:t>
            </w: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资金到位率</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378" w:type="pct"/>
            <w:shd w:val="clear" w:color="auto" w:fill="FFFFFF"/>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991" w:type="pct"/>
            <w:shd w:val="clear" w:color="auto" w:fill="FFFFFF"/>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资金支出进度</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378" w:type="pct"/>
            <w:shd w:val="clear" w:color="auto" w:fill="FFFFFF"/>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9</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资金使用合规性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restar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项目管理</w:t>
            </w:r>
          </w:p>
        </w:tc>
        <w:tc>
          <w:tcPr>
            <w:tcW w:w="1991" w:type="pc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合同管理规范性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11</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991" w:type="pc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项目实施规范性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054"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bidi="ar"/>
              </w:rPr>
            </w:pPr>
          </w:p>
        </w:tc>
        <w:tc>
          <w:tcPr>
            <w:tcW w:w="1991" w:type="pc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项目验收规范性</w:t>
            </w:r>
          </w:p>
        </w:tc>
        <w:tc>
          <w:tcPr>
            <w:tcW w:w="812" w:type="pct"/>
            <w:shd w:val="clear" w:color="auto" w:fill="FFFFFF"/>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13</w:t>
            </w:r>
          </w:p>
        </w:tc>
        <w:tc>
          <w:tcPr>
            <w:tcW w:w="762" w:type="pct"/>
            <w:vMerge w:val="restar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产出</w:t>
            </w:r>
          </w:p>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（20）</w:t>
            </w:r>
          </w:p>
        </w:tc>
        <w:tc>
          <w:tcPr>
            <w:tcW w:w="1054"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产出数量</w:t>
            </w:r>
          </w:p>
        </w:tc>
        <w:tc>
          <w:tcPr>
            <w:tcW w:w="1991" w:type="pc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学校建设情况</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14</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c>
          <w:tcPr>
            <w:tcW w:w="1054"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产出质量</w:t>
            </w: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项目验收合格率</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15</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c>
          <w:tcPr>
            <w:tcW w:w="1054" w:type="pct"/>
            <w:vMerge w:val="restar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产出时效</w:t>
            </w: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资金拨付及时性</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16</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c>
          <w:tcPr>
            <w:tcW w:w="1054"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c>
          <w:tcPr>
            <w:tcW w:w="1991" w:type="pc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项目完工及时性</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17</w:t>
            </w:r>
          </w:p>
        </w:tc>
        <w:tc>
          <w:tcPr>
            <w:tcW w:w="762" w:type="pct"/>
            <w:vMerge w:val="continue"/>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p>
        </w:tc>
        <w:tc>
          <w:tcPr>
            <w:tcW w:w="1054"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产出成本</w:t>
            </w:r>
          </w:p>
        </w:tc>
        <w:tc>
          <w:tcPr>
            <w:tcW w:w="1991" w:type="pc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成本控制情况</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18</w:t>
            </w:r>
          </w:p>
        </w:tc>
        <w:tc>
          <w:tcPr>
            <w:tcW w:w="762" w:type="pct"/>
            <w:vMerge w:val="restar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效益</w:t>
            </w:r>
          </w:p>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（20）</w:t>
            </w:r>
          </w:p>
        </w:tc>
        <w:tc>
          <w:tcPr>
            <w:tcW w:w="1054" w:type="pc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经济效益</w:t>
            </w: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周边经济发展程度</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19</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c>
          <w:tcPr>
            <w:tcW w:w="1054"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社会效益</w:t>
            </w: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教学环境改善程度</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20</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c>
          <w:tcPr>
            <w:tcW w:w="1054"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生态效益</w:t>
            </w:r>
          </w:p>
        </w:tc>
        <w:tc>
          <w:tcPr>
            <w:tcW w:w="1991" w:type="pc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生态环境影响程度</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21</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c>
          <w:tcPr>
            <w:tcW w:w="1054" w:type="pct"/>
            <w:vMerge w:val="restar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可持续影响</w:t>
            </w:r>
          </w:p>
        </w:tc>
        <w:tc>
          <w:tcPr>
            <w:tcW w:w="1991" w:type="pct"/>
            <w:shd w:val="clear" w:color="auto" w:fill="FFFFFF"/>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可使用年限</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378" w:type="pct"/>
            <w:shd w:val="clear" w:color="auto" w:fill="FFFFFF"/>
            <w:noWrap/>
            <w:vAlign w:val="center"/>
          </w:tcPr>
          <w:p>
            <w:pPr>
              <w:widowControl/>
              <w:jc w:val="center"/>
              <w:textAlignment w:val="center"/>
              <w:rPr>
                <w:rFonts w:hint="default" w:ascii="宋体" w:hAnsi="宋体" w:cs="宋体"/>
                <w:b/>
                <w:bCs/>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22</w:t>
            </w:r>
          </w:p>
        </w:tc>
        <w:tc>
          <w:tcPr>
            <w:tcW w:w="762" w:type="pct"/>
            <w:vMerge w:val="continue"/>
            <w:shd w:val="clear" w:color="auto" w:fill="FFFFFF"/>
            <w:vAlign w:val="center"/>
          </w:tcPr>
          <w:p>
            <w:pPr>
              <w:widowControl/>
              <w:jc w:val="center"/>
              <w:textAlignment w:val="center"/>
              <w:rPr>
                <w:rFonts w:hint="eastAsia" w:ascii="宋体" w:hAnsi="宋体" w:cs="宋体"/>
                <w:b/>
                <w:bCs/>
                <w:color w:val="000000"/>
                <w:kern w:val="0"/>
                <w:sz w:val="20"/>
                <w:szCs w:val="20"/>
                <w:highlight w:val="none"/>
                <w:lang w:val="en-US" w:eastAsia="zh-CN" w:bidi="ar"/>
              </w:rPr>
            </w:pPr>
          </w:p>
        </w:tc>
        <w:tc>
          <w:tcPr>
            <w:tcW w:w="1054" w:type="pct"/>
            <w:vMerge w:val="continue"/>
            <w:shd w:val="clear" w:color="auto" w:fill="FFFFFF"/>
            <w:vAlign w:val="center"/>
          </w:tcPr>
          <w:p>
            <w:pPr>
              <w:widowControl/>
              <w:jc w:val="center"/>
              <w:textAlignment w:val="center"/>
              <w:rPr>
                <w:rFonts w:hint="eastAsia" w:ascii="宋体" w:hAnsi="宋体" w:cs="宋体"/>
                <w:b/>
                <w:bCs/>
                <w:color w:val="000000"/>
                <w:kern w:val="0"/>
                <w:sz w:val="20"/>
                <w:szCs w:val="20"/>
                <w:highlight w:val="none"/>
                <w:lang w:val="en-US" w:eastAsia="zh-CN" w:bidi="ar"/>
              </w:rPr>
            </w:pPr>
          </w:p>
        </w:tc>
        <w:tc>
          <w:tcPr>
            <w:tcW w:w="1991" w:type="pct"/>
            <w:shd w:val="clear" w:color="auto" w:fill="FFFFFF"/>
            <w:vAlign w:val="center"/>
          </w:tcPr>
          <w:p>
            <w:pPr>
              <w:widowControl/>
              <w:jc w:val="center"/>
              <w:textAlignment w:val="center"/>
              <w:rPr>
                <w:rFonts w:hint="default" w:ascii="宋体" w:hAnsi="宋体" w:cs="宋体"/>
                <w:b/>
                <w:bCs/>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偿债风险能力</w:t>
            </w:r>
          </w:p>
        </w:tc>
        <w:tc>
          <w:tcPr>
            <w:tcW w:w="812" w:type="pct"/>
            <w:shd w:val="clear" w:color="auto" w:fill="FFFFFF"/>
            <w:noWrap/>
            <w:vAlign w:val="center"/>
          </w:tcPr>
          <w:p>
            <w:pPr>
              <w:widowControl/>
              <w:jc w:val="center"/>
              <w:textAlignment w:val="center"/>
              <w:rPr>
                <w:rFonts w:hint="default" w:ascii="宋体" w:hAnsi="宋体" w:cs="宋体"/>
                <w:b/>
                <w:bCs/>
                <w:color w:val="000000"/>
                <w:kern w:val="0"/>
                <w:sz w:val="20"/>
                <w:szCs w:val="20"/>
                <w:highlight w:val="none"/>
                <w:lang w:val="en-US" w:eastAsia="zh-CN" w:bidi="ar"/>
              </w:rPr>
            </w:pPr>
            <w:r>
              <w:rPr>
                <w:rFonts w:hint="eastAsia" w:ascii="宋体" w:hAnsi="宋体" w:cs="宋体"/>
                <w:b w:val="0"/>
                <w:bCs w:val="0"/>
                <w:color w:val="000000"/>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378"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23</w:t>
            </w:r>
          </w:p>
        </w:tc>
        <w:tc>
          <w:tcPr>
            <w:tcW w:w="762" w:type="pct"/>
            <w:vMerge w:val="continue"/>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c>
          <w:tcPr>
            <w:tcW w:w="1054"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满意度调查</w:t>
            </w:r>
          </w:p>
        </w:tc>
        <w:tc>
          <w:tcPr>
            <w:tcW w:w="1991" w:type="pct"/>
            <w:shd w:val="clear" w:color="auto" w:fill="FFFFFF"/>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教师满意度</w:t>
            </w:r>
          </w:p>
        </w:tc>
        <w:tc>
          <w:tcPr>
            <w:tcW w:w="812" w:type="pct"/>
            <w:shd w:val="clear" w:color="auto" w:fill="FFFFFF"/>
            <w:noWrap/>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评分标准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黑体" w:hAnsi="黑体" w:eastAsia="黑体"/>
          <w:sz w:val="32"/>
          <w:szCs w:val="36"/>
          <w:highlight w:val="none"/>
        </w:rPr>
      </w:pPr>
      <w:r>
        <w:rPr>
          <w:rFonts w:hint="eastAsia" w:ascii="仿宋_GB2312" w:hAnsi="仿宋_GB2312" w:eastAsia="仿宋_GB2312" w:cs="仿宋_GB2312"/>
          <w:color w:val="auto"/>
          <w:sz w:val="32"/>
          <w:szCs w:val="32"/>
          <w:highlight w:val="none"/>
          <w:lang w:eastAsia="zh-CN"/>
        </w:rPr>
        <w:t>本次绩效评价综合绩效级别依据《</w:t>
      </w:r>
      <w:r>
        <w:rPr>
          <w:rFonts w:hint="eastAsia" w:ascii="仿宋_GB2312" w:hAnsi="仿宋_GB2312" w:eastAsia="仿宋_GB2312" w:cs="仿宋_GB2312"/>
          <w:color w:val="auto"/>
          <w:sz w:val="32"/>
          <w:szCs w:val="32"/>
          <w:highlight w:val="none"/>
          <w:lang w:val="en-US" w:eastAsia="zh-CN"/>
        </w:rPr>
        <w:t>项目支出绩效评价管理办法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财预</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号）文件确定，分为4个等级：综合得分在90（含）-100分为优；综合得分在80（含）-</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lang w:eastAsia="zh-CN"/>
        </w:rPr>
        <w:t>分为良；综合得分在60（含）-</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lang w:eastAsia="zh-CN"/>
        </w:rPr>
        <w:t>分为</w:t>
      </w:r>
      <w:r>
        <w:rPr>
          <w:rFonts w:hint="eastAsia" w:ascii="仿宋_GB2312" w:hAnsi="仿宋_GB2312" w:eastAsia="仿宋_GB2312" w:cs="仿宋_GB2312"/>
          <w:color w:val="auto"/>
          <w:sz w:val="32"/>
          <w:szCs w:val="32"/>
          <w:highlight w:val="none"/>
          <w:lang w:val="en-US" w:eastAsia="zh-CN"/>
        </w:rPr>
        <w:t>中</w:t>
      </w:r>
      <w:r>
        <w:rPr>
          <w:rFonts w:hint="eastAsia" w:ascii="仿宋_GB2312" w:hAnsi="仿宋_GB2312" w:eastAsia="仿宋_GB2312" w:cs="仿宋_GB2312"/>
          <w:color w:val="auto"/>
          <w:sz w:val="32"/>
          <w:szCs w:val="32"/>
          <w:highlight w:val="none"/>
          <w:lang w:eastAsia="zh-CN"/>
        </w:rPr>
        <w:t>；综合得分在</w:t>
      </w:r>
      <w:r>
        <w:rPr>
          <w:rFonts w:hint="eastAsia" w:ascii="仿宋_GB2312" w:hAnsi="仿宋_GB2312" w:eastAsia="仿宋_GB2312" w:cs="仿宋_GB2312"/>
          <w:color w:val="auto"/>
          <w:sz w:val="32"/>
          <w:szCs w:val="32"/>
          <w:highlight w:val="none"/>
          <w:lang w:val="en-US" w:eastAsia="zh-CN"/>
        </w:rPr>
        <w:t>60分以下</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lang w:val="en-US" w:eastAsia="zh-CN"/>
        </w:rPr>
        <w:t>差</w:t>
      </w:r>
      <w:r>
        <w:rPr>
          <w:rFonts w:hint="eastAsia" w:ascii="仿宋_GB2312" w:hAnsi="仿宋_GB2312" w:eastAsia="仿宋_GB2312" w:cs="仿宋_GB2312"/>
          <w:color w:val="auto"/>
          <w:sz w:val="32"/>
          <w:szCs w:val="32"/>
          <w:highlight w:val="none"/>
          <w:lang w:eastAsia="zh-CN"/>
        </w:rPr>
        <w:t>。</w:t>
      </w:r>
      <w:bookmarkEnd w:id="5"/>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8" w:firstLineChars="200"/>
        <w:textAlignment w:val="baseline"/>
        <w:outlineLvl w:val="1"/>
        <w:rPr>
          <w:rFonts w:hint="eastAsia" w:ascii="楷体_GB2312" w:hAnsi="楷体_GB2312" w:eastAsia="楷体_GB2312" w:cs="楷体_GB2312"/>
          <w:spacing w:val="-13"/>
          <w:sz w:val="32"/>
          <w:szCs w:val="32"/>
        </w:rPr>
      </w:pPr>
      <w:bookmarkStart w:id="16" w:name="_Toc14444"/>
      <w:bookmarkStart w:id="17" w:name="_Toc9311"/>
      <w:r>
        <w:rPr>
          <w:rFonts w:hint="eastAsia" w:ascii="楷体_GB2312" w:hAnsi="楷体_GB2312" w:eastAsia="楷体_GB2312" w:cs="楷体_GB2312"/>
          <w:spacing w:val="-13"/>
          <w:sz w:val="32"/>
          <w:szCs w:val="32"/>
        </w:rPr>
        <w:t>（三）绩效评价工作过程</w:t>
      </w:r>
      <w:bookmarkEnd w:id="16"/>
      <w:bookmarkEnd w:id="17"/>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default" w:ascii="仿宋_GB2312" w:hAnsi="仿宋_GB2312" w:eastAsia="仿宋_GB2312" w:cs="仿宋_GB2312"/>
          <w:snapToGrid/>
          <w:kern w:val="2"/>
          <w:sz w:val="32"/>
          <w:szCs w:val="32"/>
          <w:lang w:val="en-US" w:eastAsia="zh-CN" w:bidi="ar-SA"/>
        </w:rPr>
        <w:t>本次评价工作主要分为四个阶段，包括前期准备、组织实施、分析评价、撰写与提交报告。具体实施过程如下：</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napToGrid/>
          <w:kern w:val="2"/>
          <w:sz w:val="32"/>
          <w:szCs w:val="32"/>
          <w:lang w:val="en-US" w:eastAsia="zh-CN" w:bidi="ar-SA"/>
        </w:rPr>
      </w:pPr>
      <w:r>
        <w:rPr>
          <w:rFonts w:hint="default" w:ascii="仿宋_GB2312" w:hAnsi="仿宋_GB2312" w:eastAsia="仿宋_GB2312" w:cs="仿宋_GB2312"/>
          <w:b/>
          <w:bCs/>
          <w:snapToGrid/>
          <w:kern w:val="2"/>
          <w:sz w:val="32"/>
          <w:szCs w:val="32"/>
          <w:lang w:val="en-US" w:eastAsia="zh-CN" w:bidi="ar-SA"/>
        </w:rPr>
        <w:t>1.前期准备阶段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default" w:ascii="仿宋_GB2312" w:hAnsi="仿宋_GB2312" w:eastAsia="仿宋_GB2312" w:cs="仿宋_GB2312"/>
          <w:snapToGrid/>
          <w:kern w:val="2"/>
          <w:sz w:val="32"/>
          <w:szCs w:val="32"/>
          <w:lang w:val="en-US" w:eastAsia="zh-CN" w:bidi="ar-SA"/>
        </w:rPr>
        <w:t>本阶段的主要工作内容为成立绩效评价</w:t>
      </w:r>
      <w:r>
        <w:rPr>
          <w:rFonts w:hint="eastAsia" w:ascii="仿宋_GB2312" w:hAnsi="仿宋_GB2312" w:eastAsia="仿宋_GB2312" w:cs="仿宋_GB2312"/>
          <w:snapToGrid/>
          <w:kern w:val="2"/>
          <w:sz w:val="32"/>
          <w:szCs w:val="32"/>
          <w:lang w:val="en-US" w:eastAsia="zh-CN" w:bidi="ar-SA"/>
        </w:rPr>
        <w:t>工作</w:t>
      </w:r>
      <w:r>
        <w:rPr>
          <w:rFonts w:hint="default" w:ascii="仿宋_GB2312" w:hAnsi="仿宋_GB2312" w:eastAsia="仿宋_GB2312" w:cs="仿宋_GB2312"/>
          <w:snapToGrid/>
          <w:kern w:val="2"/>
          <w:sz w:val="32"/>
          <w:szCs w:val="32"/>
          <w:lang w:val="en-US" w:eastAsia="zh-CN" w:bidi="ar-SA"/>
        </w:rPr>
        <w:t>组，与</w:t>
      </w:r>
      <w:r>
        <w:rPr>
          <w:rFonts w:hint="eastAsia" w:ascii="仿宋_GB2312" w:hAnsi="仿宋_GB2312" w:eastAsia="仿宋_GB2312" w:cs="仿宋_GB2312"/>
          <w:snapToGrid/>
          <w:kern w:val="2"/>
          <w:sz w:val="32"/>
          <w:szCs w:val="32"/>
          <w:lang w:val="en-US" w:eastAsia="zh-CN" w:bidi="ar-SA"/>
        </w:rPr>
        <w:t>市</w:t>
      </w:r>
      <w:r>
        <w:rPr>
          <w:rFonts w:hint="default" w:ascii="仿宋_GB2312" w:hAnsi="仿宋_GB2312" w:eastAsia="仿宋_GB2312" w:cs="仿宋_GB2312"/>
          <w:snapToGrid/>
          <w:kern w:val="2"/>
          <w:sz w:val="32"/>
          <w:szCs w:val="32"/>
          <w:lang w:val="en-US" w:eastAsia="zh-CN" w:bidi="ar-SA"/>
        </w:rPr>
        <w:t>财政局</w:t>
      </w:r>
      <w:r>
        <w:rPr>
          <w:rFonts w:hint="eastAsia" w:ascii="仿宋_GB2312" w:hAnsi="仿宋_GB2312" w:eastAsia="仿宋_GB2312" w:cs="仿宋_GB2312"/>
          <w:snapToGrid/>
          <w:kern w:val="2"/>
          <w:sz w:val="32"/>
          <w:szCs w:val="32"/>
          <w:lang w:val="en-US" w:eastAsia="zh-CN" w:bidi="ar-SA"/>
        </w:rPr>
        <w:t>和明山区财政局</w:t>
      </w:r>
      <w:r>
        <w:rPr>
          <w:rFonts w:hint="default" w:ascii="仿宋_GB2312" w:hAnsi="仿宋_GB2312" w:eastAsia="仿宋_GB2312" w:cs="仿宋_GB2312"/>
          <w:snapToGrid/>
          <w:kern w:val="2"/>
          <w:sz w:val="32"/>
          <w:szCs w:val="32"/>
          <w:lang w:val="en-US" w:eastAsia="zh-CN" w:bidi="ar-SA"/>
        </w:rPr>
        <w:t>进行</w:t>
      </w:r>
      <w:r>
        <w:rPr>
          <w:rFonts w:hint="eastAsia" w:ascii="仿宋_GB2312" w:hAnsi="仿宋_GB2312" w:eastAsia="仿宋_GB2312" w:cs="仿宋_GB2312"/>
          <w:snapToGrid/>
          <w:kern w:val="2"/>
          <w:sz w:val="32"/>
          <w:szCs w:val="32"/>
          <w:lang w:val="en-US" w:eastAsia="zh-CN" w:bidi="ar-SA"/>
        </w:rPr>
        <w:t>沟通</w:t>
      </w:r>
      <w:r>
        <w:rPr>
          <w:rFonts w:hint="default" w:ascii="仿宋_GB2312" w:hAnsi="仿宋_GB2312" w:eastAsia="仿宋_GB2312" w:cs="仿宋_GB2312"/>
          <w:snapToGrid/>
          <w:kern w:val="2"/>
          <w:sz w:val="32"/>
          <w:szCs w:val="32"/>
          <w:lang w:val="en-US" w:eastAsia="zh-CN" w:bidi="ar-SA"/>
        </w:rPr>
        <w:t>对接，搜集项目相关资料并整理分析，逐步形成绩效评价工作方案，</w:t>
      </w:r>
      <w:r>
        <w:rPr>
          <w:rFonts w:hint="eastAsia" w:ascii="仿宋_GB2312" w:hAnsi="仿宋_GB2312" w:eastAsia="仿宋_GB2312" w:cs="仿宋_GB2312"/>
          <w:snapToGrid/>
          <w:kern w:val="2"/>
          <w:sz w:val="32"/>
          <w:szCs w:val="32"/>
          <w:lang w:val="en-US" w:eastAsia="zh-CN" w:bidi="ar-SA"/>
        </w:rPr>
        <w:t>并</w:t>
      </w:r>
      <w:r>
        <w:rPr>
          <w:rFonts w:hint="default" w:ascii="仿宋_GB2312" w:hAnsi="仿宋_GB2312" w:eastAsia="仿宋_GB2312" w:cs="仿宋_GB2312"/>
          <w:snapToGrid/>
          <w:kern w:val="2"/>
          <w:sz w:val="32"/>
          <w:szCs w:val="32"/>
          <w:lang w:val="en-US" w:eastAsia="zh-CN" w:bidi="ar-SA"/>
        </w:rPr>
        <w:t>设计绩效评价指标体系。制定调研计划并设计座谈提纲</w:t>
      </w:r>
      <w:r>
        <w:rPr>
          <w:rFonts w:hint="eastAsia" w:ascii="仿宋_GB2312" w:hAnsi="仿宋_GB2312" w:eastAsia="仿宋_GB2312" w:cs="仿宋_GB2312"/>
          <w:snapToGrid/>
          <w:kern w:val="2"/>
          <w:sz w:val="32"/>
          <w:szCs w:val="32"/>
          <w:lang w:val="en-US" w:eastAsia="zh-CN" w:bidi="ar-SA"/>
        </w:rPr>
        <w:t>、满意度调查问卷</w:t>
      </w:r>
      <w:r>
        <w:rPr>
          <w:rFonts w:hint="default" w:ascii="仿宋_GB2312" w:hAnsi="仿宋_GB2312" w:eastAsia="仿宋_GB2312" w:cs="仿宋_GB2312"/>
          <w:snapToGrid/>
          <w:kern w:val="2"/>
          <w:sz w:val="32"/>
          <w:szCs w:val="32"/>
          <w:lang w:val="en-US" w:eastAsia="zh-CN" w:bidi="ar-SA"/>
        </w:rPr>
        <w:t>和基础数据表，为现场调研工作做准备。</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napToGrid/>
          <w:kern w:val="2"/>
          <w:sz w:val="32"/>
          <w:szCs w:val="32"/>
          <w:lang w:val="en-US" w:eastAsia="zh-CN" w:bidi="ar-SA"/>
        </w:rPr>
      </w:pPr>
      <w:r>
        <w:rPr>
          <w:rFonts w:hint="default" w:ascii="仿宋_GB2312" w:hAnsi="仿宋_GB2312" w:eastAsia="仿宋_GB2312" w:cs="仿宋_GB2312"/>
          <w:b/>
          <w:bCs/>
          <w:snapToGrid/>
          <w:kern w:val="2"/>
          <w:sz w:val="32"/>
          <w:szCs w:val="32"/>
          <w:lang w:val="en-US" w:eastAsia="zh-CN" w:bidi="ar-SA"/>
        </w:rPr>
        <w:t>2.组织实施阶段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default" w:ascii="仿宋_GB2312" w:hAnsi="仿宋_GB2312" w:eastAsia="仿宋_GB2312" w:cs="仿宋_GB2312"/>
          <w:snapToGrid/>
          <w:kern w:val="2"/>
          <w:sz w:val="32"/>
          <w:szCs w:val="32"/>
          <w:lang w:val="en-US" w:eastAsia="zh-CN" w:bidi="ar-SA"/>
        </w:rPr>
        <w:t>本阶段的主要工作内容为根据调研计划开展现场调研工作，与</w:t>
      </w:r>
      <w:r>
        <w:rPr>
          <w:rFonts w:hint="eastAsia" w:ascii="仿宋_GB2312" w:hAnsi="仿宋_GB2312" w:eastAsia="仿宋_GB2312" w:cs="仿宋_GB2312"/>
          <w:snapToGrid/>
          <w:kern w:val="2"/>
          <w:sz w:val="32"/>
          <w:szCs w:val="32"/>
          <w:lang w:val="en-US" w:eastAsia="zh-CN" w:bidi="ar-SA"/>
        </w:rPr>
        <w:t>明山区财政局和</w:t>
      </w:r>
      <w:r>
        <w:rPr>
          <w:rFonts w:hint="eastAsia" w:ascii="仿宋_GB2312" w:hAnsi="仿宋_GB2312" w:eastAsia="仿宋_GB2312" w:cs="仿宋_GB2312"/>
          <w:sz w:val="32"/>
          <w:szCs w:val="32"/>
          <w:highlight w:val="none"/>
          <w:lang w:val="en-US" w:eastAsia="zh-CN"/>
        </w:rPr>
        <w:t>新城开发有限公司</w:t>
      </w:r>
      <w:r>
        <w:rPr>
          <w:rFonts w:hint="default" w:ascii="仿宋_GB2312" w:hAnsi="仿宋_GB2312" w:eastAsia="仿宋_GB2312" w:cs="仿宋_GB2312"/>
          <w:snapToGrid/>
          <w:kern w:val="2"/>
          <w:sz w:val="32"/>
          <w:szCs w:val="32"/>
          <w:lang w:val="en-US" w:eastAsia="zh-CN" w:bidi="ar-SA"/>
        </w:rPr>
        <w:t>进行座谈，详细了解项目实施情况，并根据座谈内容进一步搜集项目资料并完善</w:t>
      </w:r>
      <w:r>
        <w:rPr>
          <w:rFonts w:hint="eastAsia" w:ascii="仿宋_GB2312" w:hAnsi="仿宋_GB2312" w:eastAsia="仿宋_GB2312" w:cs="仿宋_GB2312"/>
          <w:snapToGrid/>
          <w:kern w:val="2"/>
          <w:sz w:val="32"/>
          <w:szCs w:val="32"/>
          <w:lang w:val="en-US" w:eastAsia="zh-CN" w:bidi="ar-SA"/>
        </w:rPr>
        <w:t>实施</w:t>
      </w:r>
      <w:r>
        <w:rPr>
          <w:rFonts w:hint="default" w:ascii="仿宋_GB2312" w:hAnsi="仿宋_GB2312" w:eastAsia="仿宋_GB2312" w:cs="仿宋_GB2312"/>
          <w:snapToGrid/>
          <w:kern w:val="2"/>
          <w:sz w:val="32"/>
          <w:szCs w:val="32"/>
          <w:lang w:val="en-US" w:eastAsia="zh-CN" w:bidi="ar-SA"/>
        </w:rPr>
        <w:t>方案和指标体系。</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napToGrid/>
          <w:kern w:val="2"/>
          <w:sz w:val="32"/>
          <w:szCs w:val="32"/>
          <w:lang w:val="en-US" w:eastAsia="zh-CN" w:bidi="ar-SA"/>
        </w:rPr>
      </w:pPr>
      <w:r>
        <w:rPr>
          <w:rFonts w:hint="default" w:ascii="仿宋_GB2312" w:hAnsi="仿宋_GB2312" w:eastAsia="仿宋_GB2312" w:cs="仿宋_GB2312"/>
          <w:b/>
          <w:bCs/>
          <w:snapToGrid/>
          <w:kern w:val="2"/>
          <w:sz w:val="32"/>
          <w:szCs w:val="32"/>
          <w:lang w:val="en-US" w:eastAsia="zh-CN" w:bidi="ar-SA"/>
        </w:rPr>
        <w:t>3.分析评价阶段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default" w:ascii="仿宋_GB2312" w:hAnsi="仿宋_GB2312" w:eastAsia="仿宋_GB2312" w:cs="仿宋_GB2312"/>
          <w:snapToGrid/>
          <w:kern w:val="2"/>
          <w:sz w:val="32"/>
          <w:szCs w:val="32"/>
          <w:lang w:val="en-US" w:eastAsia="zh-CN" w:bidi="ar-SA"/>
        </w:rPr>
        <w:t>本阶段的主要工作内容为根据现场调研情况，</w:t>
      </w:r>
      <w:r>
        <w:rPr>
          <w:rFonts w:hint="eastAsia" w:ascii="仿宋_GB2312" w:hAnsi="仿宋_GB2312" w:eastAsia="仿宋_GB2312" w:cs="仿宋_GB2312"/>
          <w:snapToGrid/>
          <w:kern w:val="2"/>
          <w:sz w:val="32"/>
          <w:szCs w:val="32"/>
          <w:lang w:val="en-US" w:eastAsia="zh-CN" w:bidi="ar-SA"/>
        </w:rPr>
        <w:t>评价工作组</w:t>
      </w:r>
      <w:r>
        <w:rPr>
          <w:rFonts w:hint="default" w:ascii="仿宋_GB2312" w:hAnsi="仿宋_GB2312" w:eastAsia="仿宋_GB2312" w:cs="仿宋_GB2312"/>
          <w:snapToGrid/>
          <w:kern w:val="2"/>
          <w:sz w:val="32"/>
          <w:szCs w:val="32"/>
          <w:lang w:val="en-US" w:eastAsia="zh-CN" w:bidi="ar-SA"/>
        </w:rPr>
        <w:t>会同绩效专家组，按照设立的指标、标准、权重、方法进行评价评分，并形成评价结论。</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napToGrid/>
          <w:kern w:val="2"/>
          <w:sz w:val="32"/>
          <w:szCs w:val="32"/>
          <w:lang w:val="en-US" w:eastAsia="zh-CN" w:bidi="ar-SA"/>
        </w:rPr>
      </w:pPr>
      <w:r>
        <w:rPr>
          <w:rFonts w:hint="default" w:ascii="仿宋_GB2312" w:hAnsi="仿宋_GB2312" w:eastAsia="仿宋_GB2312" w:cs="仿宋_GB2312"/>
          <w:b/>
          <w:bCs/>
          <w:snapToGrid/>
          <w:kern w:val="2"/>
          <w:sz w:val="32"/>
          <w:szCs w:val="32"/>
          <w:lang w:val="en-US" w:eastAsia="zh-CN" w:bidi="ar-SA"/>
        </w:rPr>
        <w:t>4.撰写与提交报告阶段</w:t>
      </w:r>
    </w:p>
    <w:p>
      <w:pPr>
        <w:keepNext w:val="0"/>
        <w:keepLines w:val="0"/>
        <w:pageBreakBefore w:val="0"/>
        <w:wordWrap/>
        <w:overflowPunct/>
        <w:topLinePunct w:val="0"/>
        <w:bidi w:val="0"/>
        <w:spacing w:line="560" w:lineRule="exact"/>
        <w:ind w:left="0" w:right="0" w:firstLine="640" w:firstLineChars="200"/>
        <w:rPr>
          <w:rFonts w:hint="eastAsia" w:ascii="黑体" w:hAnsi="黑体" w:eastAsia="黑体"/>
          <w:sz w:val="32"/>
          <w:szCs w:val="36"/>
          <w:highlight w:val="none"/>
        </w:rPr>
      </w:pPr>
      <w:r>
        <w:rPr>
          <w:rFonts w:hint="default" w:ascii="仿宋_GB2312" w:hAnsi="仿宋_GB2312" w:eastAsia="仿宋_GB2312" w:cs="仿宋_GB2312"/>
          <w:snapToGrid/>
          <w:kern w:val="2"/>
          <w:sz w:val="32"/>
          <w:szCs w:val="32"/>
          <w:lang w:val="en-US" w:eastAsia="zh-CN" w:bidi="ar-SA"/>
        </w:rPr>
        <w:t>本阶段的主要工作内容为综合前期资料审核和分析、专家评价意见等，初步形成绩效评价总体结论。根据综合分析信息和评价结论，按照规定的文本格式和相关要求撰写绩效评价报告。</w:t>
      </w:r>
      <w:r>
        <w:rPr>
          <w:rFonts w:hint="eastAsia" w:ascii="仿宋_GB2312" w:hAnsi="仿宋_GB2312" w:eastAsia="仿宋_GB2312" w:cs="仿宋_GB2312"/>
          <w:snapToGrid/>
          <w:kern w:val="2"/>
          <w:sz w:val="32"/>
          <w:szCs w:val="32"/>
          <w:lang w:val="en-US" w:eastAsia="zh-CN" w:bidi="ar-SA"/>
        </w:rPr>
        <w:t>报告</w:t>
      </w:r>
      <w:r>
        <w:rPr>
          <w:rFonts w:hint="default" w:ascii="仿宋_GB2312" w:hAnsi="仿宋_GB2312" w:eastAsia="仿宋_GB2312" w:cs="仿宋_GB2312"/>
          <w:snapToGrid/>
          <w:kern w:val="2"/>
          <w:sz w:val="32"/>
          <w:szCs w:val="32"/>
          <w:lang w:val="en-US" w:eastAsia="zh-CN" w:bidi="ar-SA"/>
        </w:rPr>
        <w:t>征求相关部门意见</w:t>
      </w:r>
      <w:r>
        <w:rPr>
          <w:rFonts w:hint="eastAsia" w:ascii="仿宋_GB2312" w:hAnsi="仿宋_GB2312" w:eastAsia="仿宋_GB2312" w:cs="仿宋_GB2312"/>
          <w:snapToGrid/>
          <w:kern w:val="2"/>
          <w:sz w:val="32"/>
          <w:szCs w:val="32"/>
          <w:lang w:val="en-US" w:eastAsia="zh-CN" w:bidi="ar-SA"/>
        </w:rPr>
        <w:t>，并根据意见</w:t>
      </w:r>
      <w:r>
        <w:rPr>
          <w:rFonts w:hint="default" w:ascii="仿宋_GB2312" w:hAnsi="仿宋_GB2312" w:eastAsia="仿宋_GB2312" w:cs="仿宋_GB2312"/>
          <w:snapToGrid/>
          <w:kern w:val="2"/>
          <w:sz w:val="32"/>
          <w:szCs w:val="32"/>
          <w:lang w:val="en-US" w:eastAsia="zh-CN" w:bidi="ar-SA"/>
        </w:rPr>
        <w:t>修改完善报告内容，形成正式版报告</w:t>
      </w:r>
      <w:r>
        <w:rPr>
          <w:rFonts w:hint="eastAsia" w:ascii="仿宋_GB2312" w:hAnsi="仿宋_GB2312" w:eastAsia="仿宋_GB2312" w:cs="仿宋_GB2312"/>
          <w:snapToGrid/>
          <w:kern w:val="2"/>
          <w:sz w:val="32"/>
          <w:szCs w:val="32"/>
          <w:lang w:val="en-US" w:eastAsia="zh-CN" w:bidi="ar-SA"/>
        </w:rPr>
        <w:t>。最后，</w:t>
      </w:r>
      <w:r>
        <w:rPr>
          <w:rFonts w:hint="default" w:ascii="仿宋_GB2312" w:hAnsi="仿宋_GB2312" w:eastAsia="仿宋_GB2312" w:cs="仿宋_GB2312"/>
          <w:snapToGrid/>
          <w:kern w:val="2"/>
          <w:sz w:val="32"/>
          <w:szCs w:val="32"/>
          <w:lang w:val="en-US" w:eastAsia="zh-CN" w:bidi="ar-SA"/>
        </w:rPr>
        <w:t>将报告报送</w:t>
      </w:r>
      <w:r>
        <w:rPr>
          <w:rFonts w:hint="eastAsia" w:ascii="仿宋_GB2312" w:hAnsi="仿宋_GB2312" w:eastAsia="仿宋_GB2312" w:cs="仿宋_GB2312"/>
          <w:snapToGrid/>
          <w:kern w:val="2"/>
          <w:sz w:val="32"/>
          <w:szCs w:val="32"/>
          <w:lang w:val="en-US" w:eastAsia="zh-CN" w:bidi="ar-SA"/>
        </w:rPr>
        <w:t>至市</w:t>
      </w:r>
      <w:r>
        <w:rPr>
          <w:rFonts w:hint="default" w:ascii="仿宋_GB2312" w:hAnsi="仿宋_GB2312" w:eastAsia="仿宋_GB2312" w:cs="仿宋_GB2312"/>
          <w:snapToGrid/>
          <w:kern w:val="2"/>
          <w:sz w:val="32"/>
          <w:szCs w:val="32"/>
          <w:lang w:val="en-US" w:eastAsia="zh-CN" w:bidi="ar-SA"/>
        </w:rPr>
        <w:t>财政局绩效</w:t>
      </w:r>
      <w:r>
        <w:rPr>
          <w:rFonts w:hint="eastAsia" w:ascii="仿宋_GB2312" w:hAnsi="仿宋_GB2312" w:eastAsia="仿宋_GB2312" w:cs="仿宋_GB2312"/>
          <w:snapToGrid/>
          <w:kern w:val="2"/>
          <w:sz w:val="32"/>
          <w:szCs w:val="32"/>
          <w:lang w:val="en-US" w:eastAsia="zh-CN" w:bidi="ar-SA"/>
        </w:rPr>
        <w:t>管理科</w:t>
      </w:r>
      <w:r>
        <w:rPr>
          <w:rFonts w:hint="default" w:ascii="仿宋_GB2312" w:hAnsi="仿宋_GB2312" w:eastAsia="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并</w:t>
      </w:r>
      <w:r>
        <w:rPr>
          <w:rFonts w:hint="default" w:ascii="仿宋_GB2312" w:hAnsi="仿宋_GB2312" w:eastAsia="仿宋_GB2312" w:cs="仿宋_GB2312"/>
          <w:snapToGrid/>
          <w:kern w:val="2"/>
          <w:sz w:val="32"/>
          <w:szCs w:val="32"/>
          <w:lang w:val="en-US" w:eastAsia="zh-CN" w:bidi="ar-SA"/>
        </w:rPr>
        <w:t>对项目资料进行归档，对项目实施</w:t>
      </w:r>
      <w:r>
        <w:rPr>
          <w:rFonts w:hint="eastAsia" w:ascii="仿宋_GB2312" w:hAnsi="仿宋_GB2312" w:eastAsia="仿宋_GB2312" w:cs="仿宋_GB2312"/>
          <w:snapToGrid/>
          <w:kern w:val="2"/>
          <w:sz w:val="32"/>
          <w:szCs w:val="32"/>
          <w:lang w:val="en-US" w:eastAsia="zh-CN" w:bidi="ar-SA"/>
        </w:rPr>
        <w:t>过程</w:t>
      </w:r>
      <w:r>
        <w:rPr>
          <w:rFonts w:hint="default" w:ascii="仿宋_GB2312" w:hAnsi="仿宋_GB2312" w:eastAsia="仿宋_GB2312" w:cs="仿宋_GB2312"/>
          <w:snapToGrid/>
          <w:kern w:val="2"/>
          <w:sz w:val="32"/>
          <w:szCs w:val="32"/>
          <w:lang w:val="en-US" w:eastAsia="zh-CN" w:bidi="ar-SA"/>
        </w:rPr>
        <w:t>进行归纳总结</w:t>
      </w:r>
      <w:r>
        <w:rPr>
          <w:rFonts w:hint="eastAsia" w:ascii="仿宋_GB2312" w:hAnsi="仿宋_GB2312" w:eastAsia="仿宋_GB2312" w:cs="仿宋_GB2312"/>
          <w:snapToGrid/>
          <w:kern w:val="2"/>
          <w:sz w:val="32"/>
          <w:szCs w:val="32"/>
          <w:lang w:val="en-US" w:eastAsia="zh-CN" w:bidi="ar-SA"/>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楷体_GB2312" w:hAnsi="仿宋" w:eastAsia="楷体_GB2312"/>
          <w:b/>
          <w:bCs/>
          <w:sz w:val="32"/>
          <w:szCs w:val="36"/>
          <w:highlight w:val="none"/>
        </w:rPr>
      </w:pPr>
      <w:bookmarkStart w:id="18" w:name="_Toc28432"/>
      <w:r>
        <w:rPr>
          <w:rFonts w:hint="eastAsia" w:ascii="黑体" w:hAnsi="黑体" w:eastAsia="黑体"/>
          <w:sz w:val="32"/>
          <w:szCs w:val="36"/>
          <w:highlight w:val="none"/>
        </w:rPr>
        <w:t>三、</w:t>
      </w:r>
      <w:r>
        <w:rPr>
          <w:rFonts w:hint="eastAsia" w:ascii="黑体" w:hAnsi="黑体" w:eastAsia="黑体"/>
          <w:sz w:val="32"/>
          <w:szCs w:val="36"/>
          <w:highlight w:val="none"/>
          <w:lang w:val="en-US" w:eastAsia="zh-CN"/>
        </w:rPr>
        <w:t>综合评价情况及评价结论</w:t>
      </w:r>
      <w:bookmarkEnd w:id="18"/>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outlineLvl w:val="9"/>
        <w:rPr>
          <w:rFonts w:hint="eastAsia" w:ascii="黑体" w:hAnsi="黑体" w:eastAsia="黑体" w:cs="黑体"/>
          <w:sz w:val="24"/>
          <w:szCs w:val="24"/>
          <w:highlight w:val="none"/>
        </w:rPr>
      </w:pPr>
      <w:r>
        <w:rPr>
          <w:rFonts w:hint="eastAsia" w:ascii="仿宋_GB2312" w:hAnsi="仿宋_GB2312" w:eastAsia="仿宋_GB2312" w:cs="仿宋_GB2312"/>
          <w:b w:val="0"/>
          <w:bCs w:val="0"/>
          <w:color w:val="auto"/>
          <w:sz w:val="32"/>
          <w:szCs w:val="36"/>
          <w:highlight w:val="none"/>
        </w:rPr>
        <w:t>经综合评价，</w:t>
      </w:r>
      <w:r>
        <w:rPr>
          <w:rFonts w:hint="eastAsia" w:ascii="仿宋_GB2312" w:hAnsi="仿宋_GB2312" w:eastAsia="仿宋_GB2312" w:cs="仿宋_GB2312"/>
          <w:sz w:val="32"/>
          <w:szCs w:val="32"/>
          <w:highlight w:val="none"/>
          <w:lang w:val="en-US" w:eastAsia="zh-CN"/>
        </w:rPr>
        <w:t>本溪市明山区威宁学校建设工程</w:t>
      </w:r>
      <w:r>
        <w:rPr>
          <w:rFonts w:hint="eastAsia" w:ascii="仿宋_GB2312" w:hAnsi="仿宋_GB2312" w:eastAsia="仿宋_GB2312" w:cs="仿宋_GB2312"/>
          <w:b w:val="0"/>
          <w:bCs w:val="0"/>
          <w:color w:val="auto"/>
          <w:sz w:val="32"/>
          <w:szCs w:val="36"/>
          <w:highlight w:val="none"/>
        </w:rPr>
        <w:t>最终得分为</w:t>
      </w:r>
      <w:r>
        <w:rPr>
          <w:rFonts w:hint="eastAsia" w:ascii="仿宋_GB2312" w:hAnsi="仿宋_GB2312" w:eastAsia="仿宋_GB2312" w:cs="仿宋_GB2312"/>
          <w:b/>
          <w:bCs/>
          <w:color w:val="auto"/>
          <w:sz w:val="32"/>
          <w:szCs w:val="36"/>
          <w:highlight w:val="none"/>
          <w:lang w:val="en-US" w:eastAsia="zh-CN"/>
        </w:rPr>
        <w:t>86.34</w:t>
      </w:r>
      <w:r>
        <w:rPr>
          <w:rFonts w:hint="eastAsia" w:ascii="仿宋_GB2312" w:hAnsi="仿宋_GB2312" w:eastAsia="仿宋_GB2312" w:cs="仿宋_GB2312"/>
          <w:b w:val="0"/>
          <w:bCs w:val="0"/>
          <w:color w:val="auto"/>
          <w:sz w:val="32"/>
          <w:szCs w:val="36"/>
          <w:highlight w:val="none"/>
        </w:rPr>
        <w:t>分，评价等级为“</w:t>
      </w:r>
      <w:r>
        <w:rPr>
          <w:rFonts w:hint="eastAsia" w:ascii="仿宋_GB2312" w:hAnsi="仿宋_GB2312" w:eastAsia="仿宋_GB2312" w:cs="仿宋_GB2312"/>
          <w:b/>
          <w:bCs/>
          <w:color w:val="auto"/>
          <w:sz w:val="32"/>
          <w:szCs w:val="36"/>
          <w:highlight w:val="none"/>
          <w:lang w:val="en-US" w:eastAsia="zh-CN"/>
        </w:rPr>
        <w:t>良</w:t>
      </w:r>
      <w:r>
        <w:rPr>
          <w:rFonts w:hint="eastAsia" w:ascii="仿宋_GB2312" w:hAnsi="仿宋_GB2312" w:eastAsia="仿宋_GB2312" w:cs="仿宋_GB2312"/>
          <w:b w:val="0"/>
          <w:bCs w:val="0"/>
          <w:color w:val="auto"/>
          <w:sz w:val="32"/>
          <w:szCs w:val="36"/>
          <w:highlight w:val="none"/>
        </w:rPr>
        <w:t>”。</w:t>
      </w:r>
    </w:p>
    <w:p>
      <w:pPr>
        <w:spacing w:line="360" w:lineRule="auto"/>
        <w:jc w:val="center"/>
        <w:outlineLvl w:val="9"/>
        <w:rPr>
          <w:rFonts w:ascii="黑体" w:hAnsi="黑体" w:eastAsia="黑体" w:cs="黑体"/>
          <w:sz w:val="24"/>
          <w:szCs w:val="24"/>
          <w:highlight w:val="none"/>
        </w:rPr>
      </w:pPr>
      <w:r>
        <w:rPr>
          <w:rFonts w:hint="eastAsia" w:ascii="黑体" w:hAnsi="黑体" w:eastAsia="黑体" w:cs="黑体"/>
          <w:sz w:val="24"/>
          <w:szCs w:val="24"/>
          <w:highlight w:val="none"/>
        </w:rPr>
        <w:t>表</w:t>
      </w:r>
      <w:r>
        <w:rPr>
          <w:rFonts w:hint="eastAsia" w:ascii="黑体" w:hAnsi="黑体" w:eastAsia="黑体" w:cs="黑体"/>
          <w:sz w:val="24"/>
          <w:szCs w:val="24"/>
          <w:highlight w:val="none"/>
          <w:lang w:val="en-US" w:eastAsia="zh-CN"/>
        </w:rPr>
        <w:t>3-1 本溪市明山区威宁学校建设工程</w:t>
      </w:r>
      <w:r>
        <w:rPr>
          <w:rFonts w:hint="eastAsia" w:ascii="黑体" w:hAnsi="黑体" w:eastAsia="黑体" w:cs="黑体"/>
          <w:sz w:val="24"/>
          <w:szCs w:val="24"/>
          <w:highlight w:val="none"/>
        </w:rPr>
        <w:t>绩效评价总体得分情况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2130" w:type="dxa"/>
            <w:shd w:val="clear" w:color="auto" w:fill="E7E6E6" w:themeFill="background2"/>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一级指标</w:t>
            </w:r>
          </w:p>
        </w:tc>
        <w:tc>
          <w:tcPr>
            <w:tcW w:w="2130" w:type="dxa"/>
            <w:shd w:val="clear" w:color="auto" w:fill="E7E6E6" w:themeFill="background2"/>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指标分值</w:t>
            </w:r>
          </w:p>
        </w:tc>
        <w:tc>
          <w:tcPr>
            <w:tcW w:w="2131" w:type="dxa"/>
            <w:shd w:val="clear" w:color="auto" w:fill="E7E6E6" w:themeFill="background2"/>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指标得分</w:t>
            </w:r>
          </w:p>
        </w:tc>
        <w:tc>
          <w:tcPr>
            <w:tcW w:w="2131" w:type="dxa"/>
            <w:shd w:val="clear" w:color="auto" w:fill="E7E6E6" w:themeFill="background2"/>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30" w:type="dxa"/>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决</w:t>
            </w:r>
            <w:r>
              <w:rPr>
                <w:rFonts w:hint="eastAsia" w:ascii="宋体" w:hAnsi="宋体" w:cs="宋体"/>
                <w:sz w:val="20"/>
                <w:szCs w:val="20"/>
                <w:highlight w:val="none"/>
                <w:lang w:val="en-US" w:eastAsia="zh-CN"/>
              </w:rPr>
              <w:t xml:space="preserve">  </w:t>
            </w:r>
            <w:r>
              <w:rPr>
                <w:rFonts w:hint="eastAsia" w:ascii="宋体" w:hAnsi="宋体" w:eastAsia="宋体" w:cs="宋体"/>
                <w:sz w:val="20"/>
                <w:szCs w:val="20"/>
                <w:highlight w:val="none"/>
              </w:rPr>
              <w:t>策</w:t>
            </w:r>
          </w:p>
        </w:tc>
        <w:tc>
          <w:tcPr>
            <w:tcW w:w="2130"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w:t>
            </w:r>
          </w:p>
        </w:tc>
        <w:tc>
          <w:tcPr>
            <w:tcW w:w="2131"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20</w:t>
            </w:r>
          </w:p>
        </w:tc>
        <w:tc>
          <w:tcPr>
            <w:tcW w:w="2131"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0" w:type="dxa"/>
            <w:vAlign w:val="center"/>
          </w:tcPr>
          <w:p>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过</w:t>
            </w:r>
            <w:r>
              <w:rPr>
                <w:rFonts w:hint="eastAsia" w:ascii="宋体" w:hAnsi="宋体" w:cs="宋体"/>
                <w:sz w:val="20"/>
                <w:szCs w:val="20"/>
                <w:highlight w:val="none"/>
                <w:lang w:val="en-US" w:eastAsia="zh-CN"/>
              </w:rPr>
              <w:t xml:space="preserve">  </w:t>
            </w:r>
            <w:r>
              <w:rPr>
                <w:rFonts w:hint="eastAsia" w:ascii="宋体" w:hAnsi="宋体" w:eastAsia="宋体" w:cs="宋体"/>
                <w:sz w:val="20"/>
                <w:szCs w:val="20"/>
                <w:highlight w:val="none"/>
                <w:lang w:val="en-US" w:eastAsia="zh-CN"/>
              </w:rPr>
              <w:t>程</w:t>
            </w:r>
          </w:p>
        </w:tc>
        <w:tc>
          <w:tcPr>
            <w:tcW w:w="2130"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35</w:t>
            </w:r>
          </w:p>
        </w:tc>
        <w:tc>
          <w:tcPr>
            <w:tcW w:w="2131"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31</w:t>
            </w:r>
          </w:p>
        </w:tc>
        <w:tc>
          <w:tcPr>
            <w:tcW w:w="2131"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88.57%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130" w:type="dxa"/>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产</w:t>
            </w:r>
            <w:r>
              <w:rPr>
                <w:rFonts w:hint="eastAsia" w:ascii="宋体" w:hAnsi="宋体" w:cs="宋体"/>
                <w:sz w:val="20"/>
                <w:szCs w:val="20"/>
                <w:highlight w:val="none"/>
                <w:lang w:val="en-US" w:eastAsia="zh-CN"/>
              </w:rPr>
              <w:t xml:space="preserve">  </w:t>
            </w:r>
            <w:r>
              <w:rPr>
                <w:rFonts w:hint="eastAsia" w:ascii="宋体" w:hAnsi="宋体" w:eastAsia="宋体" w:cs="宋体"/>
                <w:sz w:val="20"/>
                <w:szCs w:val="20"/>
                <w:highlight w:val="none"/>
              </w:rPr>
              <w:t>出</w:t>
            </w:r>
          </w:p>
        </w:tc>
        <w:tc>
          <w:tcPr>
            <w:tcW w:w="2130"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25</w:t>
            </w:r>
          </w:p>
        </w:tc>
        <w:tc>
          <w:tcPr>
            <w:tcW w:w="2131"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16</w:t>
            </w:r>
          </w:p>
        </w:tc>
        <w:tc>
          <w:tcPr>
            <w:tcW w:w="2131"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0" w:type="dxa"/>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效</w:t>
            </w:r>
            <w:r>
              <w:rPr>
                <w:rFonts w:hint="eastAsia" w:ascii="宋体" w:hAnsi="宋体" w:cs="宋体"/>
                <w:sz w:val="20"/>
                <w:szCs w:val="20"/>
                <w:highlight w:val="none"/>
                <w:lang w:val="en-US" w:eastAsia="zh-CN"/>
              </w:rPr>
              <w:t xml:space="preserve">  </w:t>
            </w:r>
            <w:r>
              <w:rPr>
                <w:rFonts w:hint="eastAsia" w:ascii="宋体" w:hAnsi="宋体" w:eastAsia="宋体" w:cs="宋体"/>
                <w:sz w:val="20"/>
                <w:szCs w:val="20"/>
                <w:highlight w:val="none"/>
              </w:rPr>
              <w:t>益</w:t>
            </w:r>
          </w:p>
        </w:tc>
        <w:tc>
          <w:tcPr>
            <w:tcW w:w="2130"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20</w:t>
            </w:r>
          </w:p>
        </w:tc>
        <w:tc>
          <w:tcPr>
            <w:tcW w:w="2131"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19.34</w:t>
            </w:r>
          </w:p>
        </w:tc>
        <w:tc>
          <w:tcPr>
            <w:tcW w:w="2131"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0" w:type="dxa"/>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总</w:t>
            </w:r>
            <w:r>
              <w:rPr>
                <w:rFonts w:hint="eastAsia" w:ascii="宋体" w:hAnsi="宋体" w:cs="宋体"/>
                <w:b/>
                <w:bCs/>
                <w:sz w:val="20"/>
                <w:szCs w:val="20"/>
                <w:highlight w:val="none"/>
                <w:lang w:val="en-US" w:eastAsia="zh-CN"/>
              </w:rPr>
              <w:t xml:space="preserve">  </w:t>
            </w:r>
            <w:r>
              <w:rPr>
                <w:rFonts w:hint="eastAsia" w:ascii="宋体" w:hAnsi="宋体" w:eastAsia="宋体" w:cs="宋体"/>
                <w:b/>
                <w:bCs/>
                <w:sz w:val="20"/>
                <w:szCs w:val="20"/>
                <w:highlight w:val="none"/>
              </w:rPr>
              <w:t>计</w:t>
            </w:r>
          </w:p>
        </w:tc>
        <w:tc>
          <w:tcPr>
            <w:tcW w:w="2130" w:type="dxa"/>
            <w:vAlign w:val="center"/>
          </w:tcPr>
          <w:p>
            <w:pPr>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100</w:t>
            </w:r>
          </w:p>
        </w:tc>
        <w:tc>
          <w:tcPr>
            <w:tcW w:w="2131" w:type="dxa"/>
            <w:vAlign w:val="center"/>
          </w:tcPr>
          <w:p>
            <w:pPr>
              <w:jc w:val="center"/>
              <w:rPr>
                <w:rFonts w:hint="default"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86.34</w:t>
            </w:r>
          </w:p>
        </w:tc>
        <w:tc>
          <w:tcPr>
            <w:tcW w:w="2131" w:type="dxa"/>
            <w:vAlign w:val="center"/>
          </w:tcPr>
          <w:p>
            <w:pPr>
              <w:jc w:val="center"/>
              <w:rPr>
                <w:rFonts w:hint="default"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86.34%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威宁学校建设工程的实施，不仅为太子河新城地区均衡配置教育服务公共配套基础设施，合理分配义务教育学位，而且现有常住</w:t>
      </w:r>
      <w:bookmarkStart w:id="50" w:name="_GoBack"/>
      <w:bookmarkEnd w:id="50"/>
      <w:r>
        <w:rPr>
          <w:rFonts w:hint="eastAsia" w:ascii="仿宋_GB2312" w:hAnsi="仿宋_GB2312" w:eastAsia="仿宋_GB2312" w:cs="仿宋_GB2312"/>
          <w:color w:val="auto"/>
          <w:kern w:val="2"/>
          <w:sz w:val="32"/>
          <w:szCs w:val="32"/>
          <w:highlight w:val="none"/>
          <w:lang w:val="en-US" w:eastAsia="zh-CN" w:bidi="ar-SA"/>
        </w:rPr>
        <w:t>人口子女教育入学问题得到很大改善。同时，学校投入使用后也对周边经济发展起到一定拉动作用。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sz w:val="32"/>
          <w:szCs w:val="36"/>
          <w:highlight w:val="none"/>
          <w:lang w:val="en-US" w:eastAsia="zh-CN"/>
        </w:rPr>
      </w:pPr>
      <w:r>
        <w:rPr>
          <w:rFonts w:hint="eastAsia" w:ascii="仿宋_GB2312" w:hAnsi="仿宋_GB2312" w:eastAsia="仿宋_GB2312" w:cs="仿宋_GB2312"/>
          <w:color w:val="auto"/>
          <w:sz w:val="32"/>
          <w:szCs w:val="36"/>
          <w:highlight w:val="none"/>
        </w:rPr>
        <w:t>评价中也发现一些问题：</w:t>
      </w:r>
      <w:r>
        <w:rPr>
          <w:rFonts w:hint="eastAsia" w:ascii="仿宋_GB2312" w:hAnsi="仿宋_GB2312" w:eastAsia="仿宋_GB2312" w:cs="仿宋_GB2312"/>
          <w:color w:val="auto"/>
          <w:sz w:val="32"/>
          <w:szCs w:val="36"/>
          <w:highlight w:val="none"/>
          <w:lang w:val="en-US" w:eastAsia="zh-CN"/>
        </w:rPr>
        <w:t>在</w:t>
      </w:r>
      <w:r>
        <w:rPr>
          <w:rFonts w:hint="eastAsia" w:ascii="仿宋_GB2312" w:hAnsi="仿宋_GB2312" w:eastAsia="仿宋_GB2312" w:cs="仿宋_GB2312"/>
          <w:b/>
          <w:bCs/>
          <w:color w:val="auto"/>
          <w:sz w:val="32"/>
          <w:szCs w:val="36"/>
          <w:highlight w:val="none"/>
          <w:lang w:val="en-US" w:eastAsia="zh-CN"/>
        </w:rPr>
        <w:t>项目过程方面</w:t>
      </w:r>
      <w:r>
        <w:rPr>
          <w:rFonts w:hint="eastAsia" w:ascii="仿宋_GB2312" w:hAnsi="仿宋_GB2312" w:eastAsia="仿宋_GB2312" w:cs="仿宋_GB2312"/>
          <w:color w:val="auto"/>
          <w:sz w:val="32"/>
          <w:szCs w:val="36"/>
          <w:highlight w:val="none"/>
          <w:lang w:val="en-US" w:eastAsia="zh-CN"/>
        </w:rPr>
        <w:t>，</w:t>
      </w:r>
      <w:r>
        <w:rPr>
          <w:rFonts w:hint="eastAsia" w:ascii="仿宋_GB2312" w:hAnsi="仿宋_GB2312" w:eastAsia="仿宋_GB2312" w:cs="仿宋_GB2312"/>
          <w:b w:val="0"/>
          <w:bCs w:val="0"/>
          <w:color w:val="auto"/>
          <w:sz w:val="32"/>
          <w:szCs w:val="36"/>
          <w:highlight w:val="none"/>
          <w:lang w:val="en-US" w:eastAsia="zh-CN"/>
        </w:rPr>
        <w:t>财务管理不到位，记账凭证等相关材料格式不规范、存在缺失。建设工程施工正式合同，缺少工程进度款支付有关内容和签约时间。</w:t>
      </w:r>
      <w:r>
        <w:rPr>
          <w:rFonts w:hint="eastAsia" w:ascii="仿宋_GB2312" w:hAnsi="仿宋_GB2312" w:eastAsia="仿宋_GB2312" w:cs="仿宋_GB2312"/>
          <w:color w:val="auto"/>
          <w:sz w:val="32"/>
          <w:szCs w:val="36"/>
          <w:highlight w:val="none"/>
          <w:lang w:val="en-US" w:eastAsia="zh-CN"/>
        </w:rPr>
        <w:t>在</w:t>
      </w:r>
      <w:r>
        <w:rPr>
          <w:rFonts w:hint="eastAsia" w:ascii="仿宋_GB2312" w:hAnsi="仿宋_GB2312" w:eastAsia="仿宋_GB2312" w:cs="仿宋_GB2312"/>
          <w:b/>
          <w:bCs/>
          <w:color w:val="auto"/>
          <w:sz w:val="32"/>
          <w:szCs w:val="36"/>
          <w:highlight w:val="none"/>
          <w:lang w:val="en-US" w:eastAsia="zh-CN"/>
        </w:rPr>
        <w:t>项目产出方面</w:t>
      </w:r>
      <w:r>
        <w:rPr>
          <w:rFonts w:hint="eastAsia" w:ascii="仿宋_GB2312" w:hAnsi="仿宋_GB2312" w:eastAsia="仿宋_GB2312" w:cs="仿宋_GB2312"/>
          <w:color w:val="auto"/>
          <w:sz w:val="32"/>
          <w:szCs w:val="36"/>
          <w:highlight w:val="none"/>
          <w:lang w:val="en-US" w:eastAsia="zh-CN"/>
        </w:rPr>
        <w:t>，</w:t>
      </w:r>
      <w:bookmarkStart w:id="19" w:name="_Toc27124"/>
      <w:bookmarkStart w:id="20" w:name="_Toc23593222"/>
      <w:r>
        <w:rPr>
          <w:rFonts w:hint="eastAsia" w:ascii="仿宋_GB2312" w:hAnsi="仿宋_GB2312" w:eastAsia="仿宋_GB2312" w:cs="仿宋_GB2312"/>
          <w:color w:val="auto"/>
          <w:sz w:val="32"/>
          <w:szCs w:val="36"/>
          <w:highlight w:val="none"/>
          <w:lang w:val="en-US" w:eastAsia="zh-CN"/>
        </w:rPr>
        <w:t>目前</w:t>
      </w:r>
      <w:r>
        <w:rPr>
          <w:rFonts w:hint="eastAsia" w:ascii="仿宋_GB2312" w:hAnsi="仿宋_GB2312" w:eastAsia="仿宋_GB2312" w:cs="仿宋_GB2312"/>
          <w:sz w:val="32"/>
          <w:szCs w:val="32"/>
          <w:highlight w:val="none"/>
          <w:lang w:val="en-US" w:eastAsia="zh-CN"/>
        </w:rPr>
        <w:t>尚未完成项目验收工作和</w:t>
      </w:r>
      <w:r>
        <w:rPr>
          <w:rFonts w:hint="eastAsia" w:ascii="仿宋_GB2312" w:hAnsi="仿宋_GB2312" w:eastAsia="仿宋_GB2312" w:cs="仿宋_GB2312"/>
          <w:b w:val="0"/>
          <w:bCs w:val="0"/>
          <w:color w:val="auto"/>
          <w:sz w:val="32"/>
          <w:szCs w:val="36"/>
          <w:highlight w:val="none"/>
          <w:lang w:val="en-US" w:eastAsia="zh-CN"/>
        </w:rPr>
        <w:t>决算工作，虽然项目实际支出总额低于项目计划总投资金额，但项目实施过程中未按时向承建单位拨付建设工程款，造成承建单位垫资严重。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仿宋" w:eastAsia="楷体_GB2312"/>
          <w:b/>
          <w:bCs/>
          <w:sz w:val="32"/>
          <w:szCs w:val="36"/>
          <w:highlight w:val="none"/>
        </w:rPr>
      </w:pPr>
      <w:bookmarkStart w:id="21" w:name="_Toc30564"/>
      <w:r>
        <w:rPr>
          <w:rFonts w:hint="eastAsia" w:ascii="黑体" w:hAnsi="黑体" w:eastAsia="黑体"/>
          <w:sz w:val="32"/>
          <w:szCs w:val="36"/>
          <w:highlight w:val="none"/>
          <w:lang w:val="en-US" w:eastAsia="zh-CN"/>
        </w:rPr>
        <w:t>四</w:t>
      </w:r>
      <w:r>
        <w:rPr>
          <w:rFonts w:hint="eastAsia" w:ascii="黑体" w:hAnsi="黑体" w:eastAsia="黑体"/>
          <w:sz w:val="32"/>
          <w:szCs w:val="36"/>
          <w:highlight w:val="none"/>
        </w:rPr>
        <w:t>、</w:t>
      </w:r>
      <w:r>
        <w:rPr>
          <w:rFonts w:hint="eastAsia" w:ascii="黑体" w:hAnsi="黑体" w:eastAsia="黑体"/>
          <w:sz w:val="32"/>
          <w:szCs w:val="36"/>
          <w:highlight w:val="none"/>
          <w:lang w:val="en-US" w:eastAsia="zh-CN"/>
        </w:rPr>
        <w:t>绩效评价指标分析</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仿宋_GB2312" w:hAnsi="仿宋_GB2312" w:eastAsia="楷体_GB2312" w:cs="仿宋_GB2312"/>
          <w:b w:val="0"/>
          <w:bCs w:val="0"/>
          <w:sz w:val="32"/>
          <w:szCs w:val="36"/>
          <w:highlight w:val="none"/>
          <w:lang w:val="en-US" w:eastAsia="zh-CN"/>
        </w:rPr>
      </w:pPr>
      <w:bookmarkStart w:id="22" w:name="_Toc26400"/>
      <w:r>
        <w:rPr>
          <w:rFonts w:hint="eastAsia" w:ascii="楷体_GB2312" w:hAnsi="仿宋" w:eastAsia="楷体_GB2312"/>
          <w:b w:val="0"/>
          <w:bCs w:val="0"/>
          <w:sz w:val="32"/>
          <w:szCs w:val="36"/>
          <w:highlight w:val="none"/>
        </w:rPr>
        <w:t>（</w:t>
      </w:r>
      <w:r>
        <w:rPr>
          <w:rFonts w:hint="eastAsia" w:ascii="楷体_GB2312" w:hAnsi="仿宋" w:eastAsia="楷体_GB2312"/>
          <w:b w:val="0"/>
          <w:bCs w:val="0"/>
          <w:sz w:val="32"/>
          <w:szCs w:val="36"/>
          <w:highlight w:val="none"/>
          <w:lang w:val="en-US" w:eastAsia="zh-CN"/>
        </w:rPr>
        <w:t>一</w:t>
      </w:r>
      <w:r>
        <w:rPr>
          <w:rFonts w:hint="eastAsia" w:ascii="楷体_GB2312" w:hAnsi="仿宋" w:eastAsia="楷体_GB2312"/>
          <w:b w:val="0"/>
          <w:bCs w:val="0"/>
          <w:sz w:val="32"/>
          <w:szCs w:val="36"/>
          <w:highlight w:val="none"/>
        </w:rPr>
        <w:t>）</w:t>
      </w:r>
      <w:bookmarkEnd w:id="19"/>
      <w:bookmarkEnd w:id="20"/>
      <w:r>
        <w:rPr>
          <w:rFonts w:hint="eastAsia" w:ascii="楷体_GB2312" w:hAnsi="仿宋" w:eastAsia="楷体_GB2312"/>
          <w:b w:val="0"/>
          <w:bCs w:val="0"/>
          <w:sz w:val="32"/>
          <w:szCs w:val="36"/>
          <w:highlight w:val="none"/>
          <w:lang w:val="en-US" w:eastAsia="zh-CN"/>
        </w:rPr>
        <w:t>项目决策情况</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val="0"/>
          <w:bCs w:val="0"/>
          <w:color w:val="auto"/>
          <w:sz w:val="32"/>
          <w:szCs w:val="36"/>
          <w:highlight w:val="none"/>
          <w:lang w:val="en-US" w:eastAsia="zh-CN"/>
        </w:rPr>
        <w:t>决策指标分值为20分，得分20分，指标得分率为100%。下设2个二级指标，4个三级指标。各级指标设定及评分详见下表：</w:t>
      </w:r>
      <w:bookmarkEnd w:id="6"/>
      <w:bookmarkEnd w:id="7"/>
      <w:bookmarkEnd w:id="8"/>
      <w:bookmarkEnd w:id="9"/>
    </w:p>
    <w:p>
      <w:pPr>
        <w:spacing w:line="360" w:lineRule="auto"/>
        <w:jc w:val="center"/>
        <w:rPr>
          <w:rFonts w:ascii="黑体" w:hAnsi="黑体" w:eastAsia="黑体" w:cs="黑体"/>
          <w:sz w:val="24"/>
          <w:szCs w:val="24"/>
          <w:highlight w:val="none"/>
        </w:rPr>
      </w:pPr>
      <w:r>
        <w:rPr>
          <w:rFonts w:hint="eastAsia" w:ascii="黑体" w:hAnsi="黑体" w:eastAsia="黑体" w:cs="黑体"/>
          <w:sz w:val="24"/>
          <w:szCs w:val="24"/>
          <w:highlight w:val="none"/>
        </w:rPr>
        <w:t>表</w:t>
      </w:r>
      <w:r>
        <w:rPr>
          <w:rFonts w:hint="eastAsia" w:ascii="黑体" w:hAnsi="黑体" w:eastAsia="黑体" w:cs="黑体"/>
          <w:sz w:val="24"/>
          <w:szCs w:val="24"/>
          <w:highlight w:val="none"/>
          <w:lang w:val="en-US" w:eastAsia="zh-CN"/>
        </w:rPr>
        <w:t>4-1</w:t>
      </w:r>
      <w:r>
        <w:rPr>
          <w:rFonts w:hint="eastAsia" w:ascii="黑体" w:hAnsi="黑体" w:eastAsia="黑体" w:cs="黑体"/>
          <w:sz w:val="24"/>
          <w:szCs w:val="24"/>
          <w:highlight w:val="none"/>
        </w:rPr>
        <w:t xml:space="preserve"> 决策指标得分情况表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704"/>
        <w:gridCol w:w="1704"/>
        <w:gridCol w:w="170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523"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一级指标</w:t>
            </w:r>
          </w:p>
        </w:tc>
        <w:tc>
          <w:tcPr>
            <w:tcW w:w="1704"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二级指标</w:t>
            </w:r>
          </w:p>
        </w:tc>
        <w:tc>
          <w:tcPr>
            <w:tcW w:w="1704"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三级指标</w:t>
            </w:r>
          </w:p>
        </w:tc>
        <w:tc>
          <w:tcPr>
            <w:tcW w:w="1705"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指标分值</w:t>
            </w:r>
          </w:p>
        </w:tc>
        <w:tc>
          <w:tcPr>
            <w:tcW w:w="1515"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23" w:type="dxa"/>
            <w:vMerge w:val="restart"/>
            <w:shd w:val="clear" w:color="auto" w:fill="auto"/>
            <w:vAlign w:val="center"/>
          </w:tcPr>
          <w:p>
            <w:pPr>
              <w:jc w:val="center"/>
              <w:rPr>
                <w:rFonts w:ascii="宋体" w:hAnsi="宋体" w:eastAsia="宋体" w:cs="宋体"/>
                <w:sz w:val="20"/>
                <w:szCs w:val="20"/>
                <w:highlight w:val="yellow"/>
              </w:rPr>
            </w:pPr>
            <w:r>
              <w:rPr>
                <w:rFonts w:hint="eastAsia" w:ascii="宋体" w:hAnsi="宋体" w:eastAsia="宋体" w:cs="宋体"/>
                <w:b/>
                <w:bCs/>
                <w:sz w:val="20"/>
                <w:szCs w:val="20"/>
                <w:highlight w:val="none"/>
              </w:rPr>
              <w:t>决策</w:t>
            </w:r>
            <w:r>
              <w:rPr>
                <w:rFonts w:ascii="宋体" w:hAnsi="宋体" w:eastAsia="宋体" w:cs="宋体"/>
                <w:b/>
                <w:bCs/>
                <w:sz w:val="20"/>
                <w:szCs w:val="20"/>
                <w:highlight w:val="none"/>
              </w:rPr>
              <w:br w:type="textWrapping"/>
            </w:r>
            <w:r>
              <w:rPr>
                <w:rFonts w:hint="eastAsia" w:ascii="宋体" w:hAnsi="宋体" w:eastAsia="宋体" w:cs="宋体"/>
                <w:b/>
                <w:bCs/>
                <w:sz w:val="20"/>
                <w:szCs w:val="20"/>
                <w:highlight w:val="none"/>
              </w:rPr>
              <w:t>（2</w:t>
            </w:r>
            <w:r>
              <w:rPr>
                <w:rFonts w:ascii="宋体" w:hAnsi="宋体" w:eastAsia="宋体" w:cs="宋体"/>
                <w:b/>
                <w:bCs/>
                <w:sz w:val="20"/>
                <w:szCs w:val="20"/>
                <w:highlight w:val="none"/>
              </w:rPr>
              <w:t>0</w:t>
            </w:r>
            <w:r>
              <w:rPr>
                <w:rFonts w:hint="eastAsia" w:ascii="宋体" w:hAnsi="宋体" w:eastAsia="宋体" w:cs="宋体"/>
                <w:b/>
                <w:bCs/>
                <w:sz w:val="20"/>
                <w:szCs w:val="20"/>
                <w:highlight w:val="none"/>
              </w:rPr>
              <w:t>）</w:t>
            </w:r>
          </w:p>
        </w:tc>
        <w:tc>
          <w:tcPr>
            <w:tcW w:w="1704" w:type="dxa"/>
            <w:vMerge w:val="restart"/>
            <w:shd w:val="clear" w:color="auto" w:fill="auto"/>
            <w:vAlign w:val="center"/>
          </w:tcPr>
          <w:p>
            <w:pPr>
              <w:jc w:val="center"/>
              <w:rPr>
                <w:rFonts w:ascii="宋体" w:hAnsi="宋体" w:eastAsia="宋体" w:cs="宋体"/>
                <w:sz w:val="20"/>
                <w:szCs w:val="20"/>
                <w:highlight w:val="none"/>
              </w:rPr>
            </w:pPr>
            <w:r>
              <w:rPr>
                <w:rFonts w:hint="eastAsia" w:ascii="宋体" w:hAnsi="宋体" w:cs="宋体"/>
                <w:color w:val="000000"/>
                <w:kern w:val="0"/>
                <w:sz w:val="20"/>
                <w:szCs w:val="20"/>
                <w:highlight w:val="none"/>
                <w:lang w:val="en-US" w:eastAsia="zh-CN" w:bidi="ar"/>
              </w:rPr>
              <w:t>项目</w:t>
            </w:r>
            <w:r>
              <w:rPr>
                <w:rFonts w:hint="eastAsia" w:ascii="宋体" w:hAnsi="宋体" w:cs="宋体"/>
                <w:color w:val="000000"/>
                <w:kern w:val="0"/>
                <w:sz w:val="20"/>
                <w:szCs w:val="20"/>
                <w:highlight w:val="none"/>
                <w:lang w:bidi="ar"/>
              </w:rPr>
              <w:t>决策</w:t>
            </w:r>
          </w:p>
        </w:tc>
        <w:tc>
          <w:tcPr>
            <w:tcW w:w="1704" w:type="dxa"/>
            <w:shd w:val="clear" w:color="auto" w:fill="auto"/>
            <w:vAlign w:val="center"/>
          </w:tcPr>
          <w:p>
            <w:pPr>
              <w:jc w:val="center"/>
              <w:rPr>
                <w:rFonts w:ascii="宋体" w:hAnsi="宋体" w:eastAsia="宋体" w:cs="宋体"/>
                <w:sz w:val="20"/>
                <w:szCs w:val="20"/>
                <w:highlight w:val="none"/>
              </w:rPr>
            </w:pPr>
            <w:r>
              <w:rPr>
                <w:rFonts w:hint="eastAsia" w:ascii="宋体" w:hAnsi="宋体" w:cs="宋体"/>
                <w:color w:val="000000"/>
                <w:kern w:val="0"/>
                <w:sz w:val="20"/>
                <w:szCs w:val="20"/>
                <w:highlight w:val="none"/>
                <w:lang w:bidi="ar"/>
              </w:rPr>
              <w:t>立项依据充分性</w:t>
            </w:r>
          </w:p>
        </w:tc>
        <w:tc>
          <w:tcPr>
            <w:tcW w:w="1705" w:type="dxa"/>
            <w:shd w:val="clear" w:color="auto" w:fill="auto"/>
            <w:vAlign w:val="center"/>
          </w:tcPr>
          <w:p>
            <w:pPr>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c>
          <w:tcPr>
            <w:tcW w:w="1515" w:type="dxa"/>
            <w:shd w:val="clear" w:color="auto" w:fill="auto"/>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3" w:type="dxa"/>
            <w:vMerge w:val="continue"/>
            <w:vAlign w:val="center"/>
          </w:tcPr>
          <w:p>
            <w:pPr>
              <w:jc w:val="center"/>
              <w:rPr>
                <w:rFonts w:ascii="宋体" w:hAnsi="宋体" w:eastAsia="宋体" w:cs="宋体"/>
                <w:sz w:val="20"/>
                <w:szCs w:val="20"/>
                <w:highlight w:val="yellow"/>
              </w:rPr>
            </w:pPr>
          </w:p>
        </w:tc>
        <w:tc>
          <w:tcPr>
            <w:tcW w:w="1704" w:type="dxa"/>
            <w:vMerge w:val="continue"/>
            <w:vAlign w:val="center"/>
          </w:tcPr>
          <w:p>
            <w:pPr>
              <w:jc w:val="center"/>
              <w:rPr>
                <w:rFonts w:ascii="宋体" w:hAnsi="宋体" w:eastAsia="宋体" w:cs="宋体"/>
                <w:sz w:val="20"/>
                <w:szCs w:val="20"/>
                <w:highlight w:val="none"/>
              </w:rPr>
            </w:pPr>
          </w:p>
        </w:tc>
        <w:tc>
          <w:tcPr>
            <w:tcW w:w="1704" w:type="dxa"/>
            <w:vAlign w:val="center"/>
          </w:tcPr>
          <w:p>
            <w:pPr>
              <w:jc w:val="center"/>
              <w:rPr>
                <w:rFonts w:ascii="宋体" w:hAnsi="宋体" w:eastAsia="宋体" w:cs="宋体"/>
                <w:sz w:val="20"/>
                <w:szCs w:val="20"/>
                <w:highlight w:val="none"/>
              </w:rPr>
            </w:pPr>
            <w:r>
              <w:rPr>
                <w:rFonts w:hint="eastAsia" w:ascii="宋体" w:hAnsi="宋体" w:cs="宋体"/>
                <w:color w:val="000000"/>
                <w:kern w:val="0"/>
                <w:sz w:val="20"/>
                <w:szCs w:val="20"/>
                <w:highlight w:val="none"/>
                <w:lang w:bidi="ar"/>
              </w:rPr>
              <w:t>立项程序规范性</w:t>
            </w:r>
          </w:p>
        </w:tc>
        <w:tc>
          <w:tcPr>
            <w:tcW w:w="170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6</w:t>
            </w:r>
          </w:p>
        </w:tc>
        <w:tc>
          <w:tcPr>
            <w:tcW w:w="151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23" w:type="dxa"/>
            <w:vMerge w:val="continue"/>
            <w:vAlign w:val="center"/>
          </w:tcPr>
          <w:p>
            <w:pPr>
              <w:jc w:val="center"/>
              <w:rPr>
                <w:rFonts w:ascii="宋体" w:hAnsi="宋体" w:eastAsia="宋体" w:cs="宋体"/>
                <w:sz w:val="20"/>
                <w:szCs w:val="20"/>
                <w:highlight w:val="yellow"/>
              </w:rPr>
            </w:pPr>
          </w:p>
        </w:tc>
        <w:tc>
          <w:tcPr>
            <w:tcW w:w="1704" w:type="dxa"/>
            <w:vMerge w:val="restart"/>
            <w:vAlign w:val="center"/>
          </w:tcPr>
          <w:p>
            <w:pPr>
              <w:jc w:val="center"/>
              <w:rPr>
                <w:rFonts w:ascii="宋体" w:hAnsi="宋体" w:eastAsia="宋体" w:cs="宋体"/>
                <w:sz w:val="20"/>
                <w:szCs w:val="20"/>
                <w:highlight w:val="none"/>
              </w:rPr>
            </w:pPr>
            <w:r>
              <w:rPr>
                <w:rFonts w:hint="eastAsia" w:ascii="宋体" w:hAnsi="宋体" w:cs="宋体"/>
                <w:color w:val="000000"/>
                <w:kern w:val="0"/>
                <w:sz w:val="20"/>
                <w:szCs w:val="20"/>
                <w:highlight w:val="none"/>
                <w:lang w:bidi="ar"/>
              </w:rPr>
              <w:t>资金投入</w:t>
            </w:r>
          </w:p>
        </w:tc>
        <w:tc>
          <w:tcPr>
            <w:tcW w:w="1704"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资金申请科学性</w:t>
            </w:r>
          </w:p>
        </w:tc>
        <w:tc>
          <w:tcPr>
            <w:tcW w:w="170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6</w:t>
            </w:r>
          </w:p>
        </w:tc>
        <w:tc>
          <w:tcPr>
            <w:tcW w:w="151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23" w:type="dxa"/>
            <w:vMerge w:val="continue"/>
            <w:vAlign w:val="center"/>
          </w:tcPr>
          <w:p>
            <w:pPr>
              <w:jc w:val="center"/>
              <w:rPr>
                <w:rFonts w:ascii="宋体" w:hAnsi="宋体" w:eastAsia="宋体" w:cs="宋体"/>
                <w:sz w:val="20"/>
                <w:szCs w:val="20"/>
                <w:highlight w:val="yellow"/>
              </w:rPr>
            </w:pPr>
          </w:p>
        </w:tc>
        <w:tc>
          <w:tcPr>
            <w:tcW w:w="1704" w:type="dxa"/>
            <w:vMerge w:val="continue"/>
            <w:vAlign w:val="center"/>
          </w:tcPr>
          <w:p>
            <w:pPr>
              <w:jc w:val="center"/>
              <w:rPr>
                <w:rFonts w:ascii="宋体" w:hAnsi="宋体" w:eastAsia="宋体" w:cs="宋体"/>
                <w:sz w:val="20"/>
                <w:szCs w:val="20"/>
                <w:highlight w:val="yellow"/>
              </w:rPr>
            </w:pPr>
          </w:p>
        </w:tc>
        <w:tc>
          <w:tcPr>
            <w:tcW w:w="1704" w:type="dxa"/>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资金分配合理性</w:t>
            </w:r>
          </w:p>
        </w:tc>
        <w:tc>
          <w:tcPr>
            <w:tcW w:w="170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c>
          <w:tcPr>
            <w:tcW w:w="151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931" w:type="dxa"/>
            <w:gridSpan w:val="3"/>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合 计</w:t>
            </w:r>
          </w:p>
        </w:tc>
        <w:tc>
          <w:tcPr>
            <w:tcW w:w="1705" w:type="dxa"/>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20</w:t>
            </w:r>
          </w:p>
        </w:tc>
        <w:tc>
          <w:tcPr>
            <w:tcW w:w="1515" w:type="dxa"/>
            <w:vAlign w:val="center"/>
          </w:tcPr>
          <w:p>
            <w:pPr>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20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rPr>
      </w:pPr>
      <w:bookmarkStart w:id="23" w:name="_Toc18640"/>
      <w:bookmarkStart w:id="24" w:name="_Toc25743"/>
      <w:bookmarkStart w:id="25" w:name="_Toc24820"/>
      <w:bookmarkStart w:id="26" w:name="_Toc23352"/>
      <w:r>
        <w:rPr>
          <w:rFonts w:hint="eastAsia" w:ascii="仿宋_GB2312" w:hAnsi="仿宋_GB2312" w:eastAsia="仿宋_GB2312" w:cs="仿宋_GB2312"/>
          <w:b/>
          <w:bCs/>
          <w:sz w:val="32"/>
          <w:szCs w:val="36"/>
          <w:highlight w:val="none"/>
          <w:lang w:val="en-US" w:eastAsia="zh-CN"/>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立项依据充分性。</w:t>
      </w:r>
      <w:r>
        <w:rPr>
          <w:rFonts w:hint="eastAsia" w:ascii="仿宋_GB2312" w:hAnsi="仿宋_GB2312" w:eastAsia="仿宋_GB2312" w:cs="仿宋_GB2312"/>
          <w:kern w:val="2"/>
          <w:sz w:val="32"/>
          <w:szCs w:val="32"/>
          <w:highlight w:val="none"/>
          <w:lang w:val="en-US" w:eastAsia="zh-CN" w:bidi="ar-SA"/>
        </w:rPr>
        <w:t>《本溪市国民经济和社会发展第十三个五年规划纲要》明确提出“实现教育现代化，完成义务教育中小学标准化学校建设任务，基本实现义务教育均衡发展。重点实施本溪‘智慧教育</w:t>
      </w: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信息化工程和中小学文化艺术中心等校园文化工程，全面提升素质教育水平”。《明山区“十三五”教育事业发展规划》明确提出“完善均衡化教育布局，结合太子河新城地区未来教育发展实际，扎实推进威宁九年一贯制学校的建设工作”。</w:t>
      </w:r>
      <w:r>
        <w:rPr>
          <w:rFonts w:hint="eastAsia" w:ascii="仿宋_GB2312" w:hAnsi="仿宋_GB2312" w:eastAsia="仿宋_GB2312" w:cs="仿宋_GB2312"/>
          <w:sz w:val="32"/>
          <w:szCs w:val="32"/>
          <w:highlight w:val="none"/>
          <w:lang w:val="en-US" w:eastAsia="zh-CN"/>
        </w:rPr>
        <w:t>威宁学校建设工程进一步完善集团化办学模式，为改善明山区太子河经济开发区义务教育阶段提供必要保障。</w:t>
      </w:r>
      <w:r>
        <w:rPr>
          <w:rFonts w:hint="eastAsia" w:ascii="仿宋_GB2312" w:hAnsi="仿宋_GB2312" w:eastAsia="仿宋_GB2312" w:cs="仿宋_GB2312"/>
          <w:b w:val="0"/>
          <w:bCs w:val="0"/>
          <w:color w:val="auto"/>
          <w:sz w:val="32"/>
          <w:szCs w:val="36"/>
          <w:highlight w:val="none"/>
          <w:lang w:val="en-US" w:eastAsia="zh-CN"/>
        </w:rPr>
        <w:t>符合当前教育发展规划和区域经济发展需要，立项依据充分。该指标满分4分，实际得分4分。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立项程序规范性。</w:t>
      </w:r>
      <w:bookmarkEnd w:id="23"/>
      <w:bookmarkEnd w:id="24"/>
      <w:bookmarkEnd w:id="25"/>
      <w:bookmarkEnd w:id="26"/>
      <w:bookmarkStart w:id="27" w:name="_Toc28451"/>
      <w:bookmarkStart w:id="28" w:name="_Toc28279"/>
      <w:bookmarkStart w:id="29" w:name="_Toc3786"/>
      <w:bookmarkStart w:id="30" w:name="_Toc31504"/>
      <w:r>
        <w:rPr>
          <w:rFonts w:hint="eastAsia" w:ascii="仿宋_GB2312" w:hAnsi="仿宋_GB2312" w:eastAsia="仿宋_GB2312" w:cs="仿宋_GB2312"/>
          <w:b w:val="0"/>
          <w:bCs w:val="0"/>
          <w:color w:val="auto"/>
          <w:sz w:val="32"/>
          <w:szCs w:val="36"/>
          <w:highlight w:val="none"/>
          <w:lang w:val="en-US" w:eastAsia="zh-CN"/>
        </w:rPr>
        <w:t>明山区财政资金紧张，无法满足威宁学校工程建设。该项目又属于文化教育公共设施项目，符合国家产业政策支持范围。为了减少明山区财政压力，明山区财政局向辽宁省财政厅申请辽宁省一般性债券资金5000万元用于筹措项目建设资金。该项目依据本市相关文件要求设立，申报程序规范合理。指标满分6分，实际得分6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rPr>
      </w:pPr>
      <w:r>
        <w:rPr>
          <w:rFonts w:hint="eastAsia" w:ascii="仿宋_GB2312" w:hAnsi="仿宋_GB2312" w:eastAsia="仿宋_GB2312" w:cs="仿宋_GB2312"/>
          <w:b/>
          <w:bCs/>
          <w:sz w:val="32"/>
          <w:szCs w:val="36"/>
          <w:highlight w:val="none"/>
          <w:lang w:val="en-US" w:eastAsia="zh-CN"/>
        </w:rPr>
        <w:t>2.资金投入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sz w:val="24"/>
          <w:szCs w:val="24"/>
          <w:highlight w:val="yellow"/>
        </w:rPr>
      </w:pPr>
      <w:r>
        <w:rPr>
          <w:rFonts w:hint="eastAsia" w:ascii="仿宋_GB2312" w:hAnsi="仿宋_GB2312" w:eastAsia="仿宋_GB2312" w:cs="仿宋_GB2312"/>
          <w:b/>
          <w:bCs/>
          <w:color w:val="auto"/>
          <w:sz w:val="32"/>
          <w:szCs w:val="36"/>
          <w:highlight w:val="none"/>
          <w:lang w:val="en-US" w:eastAsia="zh-CN"/>
        </w:rPr>
        <w:t>资金申请科学性。</w:t>
      </w:r>
      <w:r>
        <w:rPr>
          <w:rFonts w:hint="eastAsia" w:ascii="仿宋_GB2312" w:eastAsia="仿宋_GB2312"/>
          <w:sz w:val="32"/>
          <w:szCs w:val="32"/>
          <w:highlight w:val="none"/>
          <w:lang w:val="en-US" w:eastAsia="zh-CN"/>
        </w:rPr>
        <w:t>经现场调研了解，</w:t>
      </w:r>
      <w:r>
        <w:rPr>
          <w:rFonts w:hint="eastAsia" w:ascii="仿宋_GB2312" w:hAnsi="仿宋_GB2312" w:eastAsia="仿宋_GB2312" w:cs="仿宋_GB2312"/>
          <w:sz w:val="32"/>
          <w:szCs w:val="32"/>
          <w:highlight w:val="none"/>
          <w:lang w:val="en-US" w:eastAsia="zh-CN"/>
        </w:rPr>
        <w:t>威宁学校建设工程总投资金额为6948万元。其中，争取到辽宁省政府一般债券资金5000万元，明山区财政局</w:t>
      </w:r>
      <w:r>
        <w:rPr>
          <w:rFonts w:hint="eastAsia" w:ascii="仿宋_GB2312" w:eastAsia="仿宋_GB2312"/>
          <w:sz w:val="32"/>
          <w:szCs w:val="32"/>
          <w:highlight w:val="none"/>
          <w:lang w:val="en-US" w:eastAsia="zh-CN"/>
        </w:rPr>
        <w:t>自筹资金共计2560万元。目前威宁学校建设工作尚未完成决算工作，工程实际支出为</w:t>
      </w:r>
      <w:r>
        <w:rPr>
          <w:rFonts w:hint="eastAsia" w:ascii="仿宋_GB2312" w:hAnsi="仿宋_GB2312" w:eastAsia="仿宋_GB2312" w:cs="仿宋_GB2312"/>
          <w:sz w:val="32"/>
          <w:szCs w:val="32"/>
          <w:highlight w:val="none"/>
          <w:lang w:val="en-US" w:eastAsia="zh-CN"/>
        </w:rPr>
        <w:t>6480.89万元。</w:t>
      </w:r>
      <w:r>
        <w:rPr>
          <w:rFonts w:hint="eastAsia" w:ascii="仿宋_GB2312" w:eastAsia="仿宋_GB2312"/>
          <w:sz w:val="32"/>
          <w:szCs w:val="32"/>
          <w:highlight w:val="none"/>
          <w:lang w:val="en-US" w:eastAsia="zh-CN"/>
        </w:rPr>
        <w:t>综上所述，威宁学校建设工程实际支出与资金申报财政预算资金额度相差较小，预算编制科学合理。</w:t>
      </w:r>
      <w:r>
        <w:rPr>
          <w:rFonts w:hint="eastAsia" w:ascii="仿宋_GB2312" w:hAnsi="仿宋_GB2312" w:eastAsia="仿宋_GB2312" w:cs="仿宋_GB2312"/>
          <w:b w:val="0"/>
          <w:bCs w:val="0"/>
          <w:color w:val="auto"/>
          <w:sz w:val="32"/>
          <w:szCs w:val="36"/>
          <w:highlight w:val="none"/>
          <w:lang w:val="en-US" w:eastAsia="zh-CN"/>
        </w:rPr>
        <w:t>该指标满分6分，实际得分6分。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textAlignment w:val="auto"/>
        <w:rPr>
          <w:highlight w:val="none"/>
        </w:rPr>
      </w:pPr>
      <w:r>
        <w:rPr>
          <w:rFonts w:hint="eastAsia" w:ascii="仿宋_GB2312" w:hAnsi="仿宋_GB2312" w:eastAsia="仿宋_GB2312" w:cs="仿宋_GB2312"/>
          <w:b/>
          <w:bCs/>
          <w:color w:val="auto"/>
          <w:sz w:val="32"/>
          <w:szCs w:val="36"/>
          <w:highlight w:val="none"/>
          <w:lang w:val="en-US" w:eastAsia="zh-CN"/>
        </w:rPr>
        <w:t>资金分配合理性。</w:t>
      </w:r>
      <w:r>
        <w:rPr>
          <w:rFonts w:hint="eastAsia" w:ascii="仿宋_GB2312" w:hAnsi="仿宋_GB2312" w:eastAsia="仿宋_GB2312" w:cs="仿宋_GB2312"/>
          <w:b w:val="0"/>
          <w:bCs w:val="0"/>
          <w:color w:val="auto"/>
          <w:sz w:val="32"/>
          <w:szCs w:val="36"/>
          <w:highlight w:val="none"/>
          <w:lang w:val="en-US" w:eastAsia="zh-CN"/>
        </w:rPr>
        <w:t>项目资金根据项目实际工程进度进行阶段性支付，资金分配合理合规。该指标满分4分，实际得分4分。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仿宋_GB2312" w:hAnsi="仿宋_GB2312" w:eastAsia="楷体_GB2312" w:cs="仿宋_GB2312"/>
          <w:b w:val="0"/>
          <w:bCs w:val="0"/>
          <w:sz w:val="32"/>
          <w:szCs w:val="36"/>
          <w:highlight w:val="none"/>
          <w:lang w:val="en-US" w:eastAsia="zh-CN"/>
        </w:rPr>
      </w:pPr>
      <w:bookmarkStart w:id="31" w:name="_Toc30706"/>
      <w:r>
        <w:rPr>
          <w:rFonts w:hint="eastAsia" w:ascii="楷体_GB2312" w:hAnsi="仿宋" w:eastAsia="楷体_GB2312"/>
          <w:b w:val="0"/>
          <w:bCs w:val="0"/>
          <w:sz w:val="32"/>
          <w:szCs w:val="36"/>
          <w:highlight w:val="none"/>
        </w:rPr>
        <w:t>（</w:t>
      </w:r>
      <w:r>
        <w:rPr>
          <w:rFonts w:hint="eastAsia" w:ascii="楷体_GB2312" w:hAnsi="仿宋" w:eastAsia="楷体_GB2312"/>
          <w:b w:val="0"/>
          <w:bCs w:val="0"/>
          <w:sz w:val="32"/>
          <w:szCs w:val="36"/>
          <w:highlight w:val="none"/>
          <w:lang w:val="en-US" w:eastAsia="zh-CN"/>
        </w:rPr>
        <w:t>二</w:t>
      </w:r>
      <w:r>
        <w:rPr>
          <w:rFonts w:hint="eastAsia" w:ascii="楷体_GB2312" w:hAnsi="仿宋" w:eastAsia="楷体_GB2312"/>
          <w:b w:val="0"/>
          <w:bCs w:val="0"/>
          <w:sz w:val="32"/>
          <w:szCs w:val="36"/>
          <w:highlight w:val="none"/>
        </w:rPr>
        <w:t>）</w:t>
      </w:r>
      <w:r>
        <w:rPr>
          <w:rFonts w:hint="eastAsia" w:ascii="楷体_GB2312" w:hAnsi="仿宋" w:eastAsia="楷体_GB2312"/>
          <w:b w:val="0"/>
          <w:bCs w:val="0"/>
          <w:sz w:val="32"/>
          <w:szCs w:val="36"/>
          <w:highlight w:val="none"/>
          <w:lang w:val="en-US" w:eastAsia="zh-CN"/>
        </w:rPr>
        <w:t>项目过程情况</w:t>
      </w:r>
      <w:bookmarkEnd w:id="3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val="0"/>
          <w:bCs w:val="0"/>
          <w:color w:val="auto"/>
          <w:sz w:val="32"/>
          <w:szCs w:val="36"/>
          <w:highlight w:val="none"/>
          <w:lang w:val="en-US" w:eastAsia="zh-CN"/>
        </w:rPr>
        <w:t>过程指标分值为35分，得分为31分，指标得分率为88.57%。下设3个二级指标，8个三级指标。各级指标设定及评分详见下表：</w:t>
      </w:r>
    </w:p>
    <w:p>
      <w:pPr>
        <w:pStyle w:val="2"/>
        <w:rPr>
          <w:rFonts w:hint="eastAsia" w:ascii="仿宋_GB2312" w:hAnsi="仿宋_GB2312" w:eastAsia="仿宋_GB2312" w:cs="仿宋_GB2312"/>
          <w:b w:val="0"/>
          <w:bCs w:val="0"/>
          <w:color w:val="auto"/>
          <w:sz w:val="32"/>
          <w:szCs w:val="36"/>
          <w:highlight w:val="none"/>
          <w:lang w:val="en-US" w:eastAsia="zh-CN"/>
        </w:rPr>
      </w:pPr>
    </w:p>
    <w:p>
      <w:pPr>
        <w:spacing w:line="360" w:lineRule="auto"/>
        <w:jc w:val="center"/>
        <w:rPr>
          <w:rFonts w:hint="eastAsia" w:ascii="黑体" w:hAnsi="黑体" w:eastAsia="黑体" w:cs="黑体"/>
          <w:sz w:val="24"/>
          <w:szCs w:val="24"/>
          <w:highlight w:val="none"/>
        </w:rPr>
      </w:pPr>
    </w:p>
    <w:p>
      <w:pPr>
        <w:spacing w:line="360" w:lineRule="auto"/>
        <w:jc w:val="center"/>
        <w:rPr>
          <w:rFonts w:ascii="黑体" w:hAnsi="黑体" w:eastAsia="黑体" w:cs="黑体"/>
          <w:sz w:val="24"/>
          <w:szCs w:val="24"/>
          <w:highlight w:val="none"/>
        </w:rPr>
      </w:pPr>
      <w:r>
        <w:rPr>
          <w:rFonts w:hint="eastAsia" w:ascii="黑体" w:hAnsi="黑体" w:eastAsia="黑体" w:cs="黑体"/>
          <w:sz w:val="24"/>
          <w:szCs w:val="24"/>
          <w:highlight w:val="none"/>
        </w:rPr>
        <w:t>表</w:t>
      </w:r>
      <w:r>
        <w:rPr>
          <w:rFonts w:hint="eastAsia" w:ascii="黑体" w:hAnsi="黑体" w:eastAsia="黑体" w:cs="黑体"/>
          <w:sz w:val="24"/>
          <w:szCs w:val="24"/>
          <w:highlight w:val="none"/>
          <w:lang w:val="en-US" w:eastAsia="zh-CN"/>
        </w:rPr>
        <w:t>4-2</w:t>
      </w:r>
      <w:r>
        <w:rPr>
          <w:rFonts w:hint="eastAsia" w:ascii="黑体" w:hAnsi="黑体" w:eastAsia="黑体" w:cs="黑体"/>
          <w:sz w:val="24"/>
          <w:szCs w:val="24"/>
          <w:highlight w:val="none"/>
        </w:rPr>
        <w:t xml:space="preserve"> </w:t>
      </w:r>
      <w:r>
        <w:rPr>
          <w:rFonts w:hint="eastAsia" w:ascii="黑体" w:hAnsi="黑体" w:eastAsia="黑体" w:cs="黑体"/>
          <w:sz w:val="24"/>
          <w:szCs w:val="24"/>
          <w:highlight w:val="none"/>
          <w:lang w:val="en-US" w:eastAsia="zh-CN"/>
        </w:rPr>
        <w:t>过程</w:t>
      </w:r>
      <w:r>
        <w:rPr>
          <w:rFonts w:hint="eastAsia" w:ascii="黑体" w:hAnsi="黑体" w:eastAsia="黑体" w:cs="黑体"/>
          <w:sz w:val="24"/>
          <w:szCs w:val="24"/>
          <w:highlight w:val="none"/>
        </w:rPr>
        <w:t>指标得分情况表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605"/>
        <w:gridCol w:w="2066"/>
        <w:gridCol w:w="17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280"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一级指标</w:t>
            </w:r>
          </w:p>
        </w:tc>
        <w:tc>
          <w:tcPr>
            <w:tcW w:w="1605"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二级指标</w:t>
            </w:r>
          </w:p>
        </w:tc>
        <w:tc>
          <w:tcPr>
            <w:tcW w:w="2066"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三级指标</w:t>
            </w:r>
          </w:p>
        </w:tc>
        <w:tc>
          <w:tcPr>
            <w:tcW w:w="1705"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指标分值</w:t>
            </w:r>
          </w:p>
        </w:tc>
        <w:tc>
          <w:tcPr>
            <w:tcW w:w="1575" w:type="dxa"/>
            <w:shd w:val="clear" w:color="auto" w:fill="auto"/>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1280" w:type="dxa"/>
            <w:vMerge w:val="restart"/>
            <w:shd w:val="clear" w:color="auto" w:fill="auto"/>
            <w:vAlign w:val="center"/>
          </w:tcPr>
          <w:p>
            <w:pPr>
              <w:jc w:val="center"/>
              <w:rPr>
                <w:rFonts w:ascii="宋体" w:hAnsi="宋体" w:eastAsia="宋体" w:cs="宋体"/>
                <w:sz w:val="20"/>
                <w:szCs w:val="20"/>
                <w:highlight w:val="none"/>
              </w:rPr>
            </w:pPr>
            <w:r>
              <w:rPr>
                <w:rFonts w:hint="eastAsia" w:ascii="宋体" w:hAnsi="宋体" w:eastAsia="宋体" w:cs="宋体"/>
                <w:b/>
                <w:bCs/>
                <w:sz w:val="20"/>
                <w:szCs w:val="20"/>
                <w:highlight w:val="none"/>
                <w:lang w:val="en-US" w:eastAsia="zh-CN"/>
              </w:rPr>
              <w:t>过程</w:t>
            </w:r>
            <w:r>
              <w:rPr>
                <w:rFonts w:ascii="宋体" w:hAnsi="宋体" w:eastAsia="宋体" w:cs="宋体"/>
                <w:b/>
                <w:bCs/>
                <w:sz w:val="20"/>
                <w:szCs w:val="20"/>
                <w:highlight w:val="none"/>
              </w:rPr>
              <w:br w:type="textWrapping"/>
            </w:r>
            <w:r>
              <w:rPr>
                <w:rFonts w:hint="eastAsia" w:ascii="宋体" w:hAnsi="宋体" w:eastAsia="宋体" w:cs="宋体"/>
                <w:b/>
                <w:bCs/>
                <w:sz w:val="20"/>
                <w:szCs w:val="20"/>
                <w:highlight w:val="none"/>
              </w:rPr>
              <w:t>（</w:t>
            </w:r>
            <w:r>
              <w:rPr>
                <w:rFonts w:hint="eastAsia" w:ascii="宋体" w:hAnsi="宋体" w:cs="宋体"/>
                <w:b/>
                <w:bCs/>
                <w:sz w:val="20"/>
                <w:szCs w:val="20"/>
                <w:highlight w:val="none"/>
                <w:lang w:val="en-US" w:eastAsia="zh-CN"/>
              </w:rPr>
              <w:t>35</w:t>
            </w:r>
            <w:r>
              <w:rPr>
                <w:rFonts w:hint="eastAsia" w:ascii="宋体" w:hAnsi="宋体" w:eastAsia="宋体" w:cs="宋体"/>
                <w:b/>
                <w:bCs/>
                <w:sz w:val="20"/>
                <w:szCs w:val="20"/>
                <w:highlight w:val="none"/>
              </w:rPr>
              <w:t>）</w:t>
            </w:r>
          </w:p>
        </w:tc>
        <w:tc>
          <w:tcPr>
            <w:tcW w:w="1605" w:type="dxa"/>
            <w:vMerge w:val="restart"/>
            <w:shd w:val="clear" w:color="auto" w:fill="auto"/>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组织实施</w:t>
            </w:r>
          </w:p>
        </w:tc>
        <w:tc>
          <w:tcPr>
            <w:tcW w:w="2066" w:type="dxa"/>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TW" w:bidi="ar"/>
              </w:rPr>
            </w:pPr>
            <w:r>
              <w:rPr>
                <w:rFonts w:hint="eastAsia" w:ascii="宋体" w:hAnsi="宋体" w:cs="宋体"/>
                <w:color w:val="000000"/>
                <w:kern w:val="0"/>
                <w:sz w:val="20"/>
                <w:szCs w:val="20"/>
                <w:highlight w:val="none"/>
                <w:lang w:val="en-US" w:eastAsia="zh-CN" w:bidi="ar"/>
              </w:rPr>
              <w:t>管理</w:t>
            </w:r>
            <w:r>
              <w:rPr>
                <w:rFonts w:hint="eastAsia" w:ascii="宋体" w:hAnsi="宋体" w:cs="宋体"/>
                <w:color w:val="000000"/>
                <w:kern w:val="0"/>
                <w:sz w:val="20"/>
                <w:szCs w:val="20"/>
                <w:highlight w:val="none"/>
                <w:lang w:bidi="ar"/>
              </w:rPr>
              <w:t>制度健全性</w:t>
            </w:r>
          </w:p>
        </w:tc>
        <w:tc>
          <w:tcPr>
            <w:tcW w:w="1705" w:type="dxa"/>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1575" w:type="dxa"/>
            <w:shd w:val="clear" w:color="auto" w:fill="auto"/>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0" w:type="dxa"/>
            <w:vMerge w:val="continue"/>
            <w:shd w:val="clear" w:color="auto" w:fill="auto"/>
            <w:vAlign w:val="center"/>
          </w:tcPr>
          <w:p>
            <w:pPr>
              <w:jc w:val="center"/>
              <w:rPr>
                <w:rFonts w:ascii="宋体" w:hAnsi="宋体" w:eastAsia="宋体" w:cs="宋体"/>
                <w:sz w:val="20"/>
                <w:szCs w:val="20"/>
                <w:highlight w:val="none"/>
              </w:rPr>
            </w:pPr>
          </w:p>
        </w:tc>
        <w:tc>
          <w:tcPr>
            <w:tcW w:w="1605" w:type="dxa"/>
            <w:vMerge w:val="continue"/>
            <w:shd w:val="clear" w:color="auto" w:fill="auto"/>
            <w:vAlign w:val="center"/>
          </w:tcPr>
          <w:p>
            <w:pPr>
              <w:jc w:val="center"/>
              <w:rPr>
                <w:rFonts w:ascii="宋体" w:hAnsi="宋体" w:eastAsia="宋体" w:cs="宋体"/>
                <w:sz w:val="20"/>
                <w:szCs w:val="20"/>
                <w:highlight w:val="none"/>
              </w:rPr>
            </w:pPr>
          </w:p>
        </w:tc>
        <w:tc>
          <w:tcPr>
            <w:tcW w:w="2066" w:type="dxa"/>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财务制度健全</w:t>
            </w:r>
            <w:r>
              <w:rPr>
                <w:rFonts w:hint="eastAsia" w:ascii="宋体" w:hAnsi="宋体" w:cs="宋体"/>
                <w:color w:val="000000"/>
                <w:kern w:val="0"/>
                <w:sz w:val="20"/>
                <w:szCs w:val="20"/>
                <w:highlight w:val="none"/>
                <w:lang w:bidi="ar"/>
              </w:rPr>
              <w:t>性</w:t>
            </w:r>
          </w:p>
        </w:tc>
        <w:tc>
          <w:tcPr>
            <w:tcW w:w="1705" w:type="dxa"/>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1575" w:type="dxa"/>
            <w:shd w:val="clear" w:color="auto" w:fill="auto"/>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jc w:val="center"/>
        </w:trPr>
        <w:tc>
          <w:tcPr>
            <w:tcW w:w="1280" w:type="dxa"/>
            <w:vMerge w:val="continue"/>
            <w:vAlign w:val="center"/>
          </w:tcPr>
          <w:p>
            <w:pPr>
              <w:jc w:val="center"/>
              <w:rPr>
                <w:rFonts w:ascii="宋体" w:hAnsi="宋体" w:eastAsia="宋体" w:cs="宋体"/>
                <w:sz w:val="20"/>
                <w:szCs w:val="20"/>
                <w:highlight w:val="none"/>
              </w:rPr>
            </w:pPr>
          </w:p>
        </w:tc>
        <w:tc>
          <w:tcPr>
            <w:tcW w:w="1605" w:type="dxa"/>
            <w:vMerge w:val="restart"/>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资金管理</w:t>
            </w:r>
          </w:p>
        </w:tc>
        <w:tc>
          <w:tcPr>
            <w:tcW w:w="2066"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资金到位率</w:t>
            </w:r>
          </w:p>
        </w:tc>
        <w:tc>
          <w:tcPr>
            <w:tcW w:w="1705"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c>
          <w:tcPr>
            <w:tcW w:w="157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80" w:type="dxa"/>
            <w:vMerge w:val="continue"/>
            <w:vAlign w:val="center"/>
          </w:tcPr>
          <w:p>
            <w:pPr>
              <w:jc w:val="center"/>
              <w:rPr>
                <w:rFonts w:ascii="宋体" w:hAnsi="宋体" w:eastAsia="宋体" w:cs="宋体"/>
                <w:sz w:val="20"/>
                <w:szCs w:val="20"/>
                <w:highlight w:val="none"/>
              </w:rPr>
            </w:pPr>
          </w:p>
        </w:tc>
        <w:tc>
          <w:tcPr>
            <w:tcW w:w="1605" w:type="dxa"/>
            <w:vMerge w:val="continue"/>
            <w:vAlign w:val="center"/>
          </w:tcPr>
          <w:p>
            <w:pPr>
              <w:jc w:val="center"/>
              <w:rPr>
                <w:rFonts w:ascii="宋体" w:hAnsi="宋体" w:eastAsia="宋体" w:cs="宋体"/>
                <w:sz w:val="20"/>
                <w:szCs w:val="20"/>
                <w:highlight w:val="none"/>
              </w:rPr>
            </w:pPr>
          </w:p>
        </w:tc>
        <w:tc>
          <w:tcPr>
            <w:tcW w:w="2066"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资金支出进度</w:t>
            </w:r>
          </w:p>
        </w:tc>
        <w:tc>
          <w:tcPr>
            <w:tcW w:w="1705"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c>
          <w:tcPr>
            <w:tcW w:w="1575"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1280" w:type="dxa"/>
            <w:vMerge w:val="continue"/>
            <w:vAlign w:val="center"/>
          </w:tcPr>
          <w:p>
            <w:pPr>
              <w:jc w:val="center"/>
              <w:rPr>
                <w:rFonts w:ascii="宋体" w:hAnsi="宋体" w:eastAsia="宋体" w:cs="宋体"/>
                <w:sz w:val="20"/>
                <w:szCs w:val="20"/>
                <w:highlight w:val="none"/>
              </w:rPr>
            </w:pPr>
          </w:p>
        </w:tc>
        <w:tc>
          <w:tcPr>
            <w:tcW w:w="1605" w:type="dxa"/>
            <w:vMerge w:val="continue"/>
            <w:vAlign w:val="center"/>
          </w:tcPr>
          <w:p>
            <w:pPr>
              <w:jc w:val="center"/>
              <w:rPr>
                <w:rFonts w:ascii="宋体" w:hAnsi="宋体" w:eastAsia="宋体" w:cs="宋体"/>
                <w:sz w:val="20"/>
                <w:szCs w:val="20"/>
                <w:highlight w:val="none"/>
              </w:rPr>
            </w:pPr>
          </w:p>
        </w:tc>
        <w:tc>
          <w:tcPr>
            <w:tcW w:w="2066" w:type="dxa"/>
            <w:vAlign w:val="center"/>
          </w:tcPr>
          <w:p>
            <w:pPr>
              <w:widowControl/>
              <w:jc w:val="center"/>
              <w:textAlignment w:val="center"/>
              <w:rPr>
                <w:rFonts w:hint="eastAsia" w:ascii="宋体" w:hAnsi="宋体" w:eastAsia="宋体" w:cs="宋体"/>
                <w:color w:val="000000"/>
                <w:kern w:val="0"/>
                <w:sz w:val="20"/>
                <w:szCs w:val="20"/>
                <w:highlight w:val="none"/>
                <w:lang w:val="en-US" w:eastAsia="zh-TW" w:bidi="ar"/>
              </w:rPr>
            </w:pPr>
            <w:r>
              <w:rPr>
                <w:rFonts w:hint="eastAsia" w:ascii="宋体" w:hAnsi="宋体" w:cs="宋体"/>
                <w:color w:val="000000"/>
                <w:kern w:val="0"/>
                <w:sz w:val="20"/>
                <w:szCs w:val="20"/>
                <w:highlight w:val="none"/>
                <w:lang w:bidi="ar"/>
              </w:rPr>
              <w:t>资金使用合规性</w:t>
            </w:r>
          </w:p>
        </w:tc>
        <w:tc>
          <w:tcPr>
            <w:tcW w:w="1705"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1575" w:type="dxa"/>
            <w:vAlign w:val="center"/>
          </w:tcPr>
          <w:p>
            <w:pPr>
              <w:jc w:val="center"/>
              <w:rPr>
                <w:rFonts w:hint="default" w:ascii="宋体" w:hAnsi="宋体" w:eastAsia="宋体" w:cs="宋体"/>
                <w:color w:val="auto"/>
                <w:sz w:val="20"/>
                <w:szCs w:val="20"/>
                <w:highlight w:val="yellow"/>
                <w:lang w:val="en-US" w:eastAsia="zh-CN"/>
              </w:rPr>
            </w:pPr>
            <w:r>
              <w:rPr>
                <w:rFonts w:hint="eastAsia" w:ascii="宋体" w:hAnsi="宋体" w:cs="宋体"/>
                <w:color w:val="auto"/>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0" w:type="dxa"/>
            <w:vMerge w:val="continue"/>
            <w:vAlign w:val="center"/>
          </w:tcPr>
          <w:p>
            <w:pPr>
              <w:jc w:val="center"/>
              <w:rPr>
                <w:rFonts w:ascii="宋体" w:hAnsi="宋体" w:eastAsia="宋体" w:cs="宋体"/>
                <w:sz w:val="20"/>
                <w:szCs w:val="20"/>
                <w:highlight w:val="none"/>
              </w:rPr>
            </w:pPr>
          </w:p>
        </w:tc>
        <w:tc>
          <w:tcPr>
            <w:tcW w:w="1605" w:type="dxa"/>
            <w:vMerge w:val="restart"/>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项目管理</w:t>
            </w:r>
          </w:p>
        </w:tc>
        <w:tc>
          <w:tcPr>
            <w:tcW w:w="2066"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合同管理规范性</w:t>
            </w:r>
          </w:p>
        </w:tc>
        <w:tc>
          <w:tcPr>
            <w:tcW w:w="1705"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1575"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80" w:type="dxa"/>
            <w:vMerge w:val="continue"/>
            <w:vAlign w:val="center"/>
          </w:tcPr>
          <w:p>
            <w:pPr>
              <w:jc w:val="center"/>
              <w:rPr>
                <w:rFonts w:ascii="宋体" w:hAnsi="宋体" w:eastAsia="宋体" w:cs="宋体"/>
                <w:sz w:val="20"/>
                <w:szCs w:val="20"/>
                <w:highlight w:val="yellow"/>
              </w:rPr>
            </w:pPr>
          </w:p>
        </w:tc>
        <w:tc>
          <w:tcPr>
            <w:tcW w:w="1605" w:type="dxa"/>
            <w:vMerge w:val="continue"/>
            <w:vAlign w:val="center"/>
          </w:tcPr>
          <w:p>
            <w:pPr>
              <w:jc w:val="center"/>
              <w:rPr>
                <w:rFonts w:ascii="宋体" w:hAnsi="宋体" w:eastAsia="宋体" w:cs="宋体"/>
                <w:sz w:val="20"/>
                <w:szCs w:val="20"/>
                <w:highlight w:val="yellow"/>
              </w:rPr>
            </w:pPr>
          </w:p>
        </w:tc>
        <w:tc>
          <w:tcPr>
            <w:tcW w:w="2066"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项目实施规范性</w:t>
            </w:r>
          </w:p>
        </w:tc>
        <w:tc>
          <w:tcPr>
            <w:tcW w:w="1705"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w:t>
            </w:r>
          </w:p>
        </w:tc>
        <w:tc>
          <w:tcPr>
            <w:tcW w:w="1575"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0" w:type="dxa"/>
            <w:vMerge w:val="continue"/>
            <w:vAlign w:val="center"/>
          </w:tcPr>
          <w:p>
            <w:pPr>
              <w:jc w:val="center"/>
              <w:rPr>
                <w:rFonts w:ascii="宋体" w:hAnsi="宋体" w:eastAsia="宋体" w:cs="宋体"/>
                <w:sz w:val="20"/>
                <w:szCs w:val="20"/>
                <w:highlight w:val="yellow"/>
              </w:rPr>
            </w:pPr>
          </w:p>
        </w:tc>
        <w:tc>
          <w:tcPr>
            <w:tcW w:w="1605" w:type="dxa"/>
            <w:vMerge w:val="continue"/>
            <w:vAlign w:val="center"/>
          </w:tcPr>
          <w:p>
            <w:pPr>
              <w:jc w:val="center"/>
              <w:rPr>
                <w:rFonts w:ascii="宋体" w:hAnsi="宋体" w:eastAsia="宋体" w:cs="宋体"/>
                <w:sz w:val="20"/>
                <w:szCs w:val="20"/>
                <w:highlight w:val="yellow"/>
              </w:rPr>
            </w:pPr>
          </w:p>
        </w:tc>
        <w:tc>
          <w:tcPr>
            <w:tcW w:w="2066"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项目验收规范性</w:t>
            </w:r>
          </w:p>
        </w:tc>
        <w:tc>
          <w:tcPr>
            <w:tcW w:w="1705"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1575"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951" w:type="dxa"/>
            <w:gridSpan w:val="3"/>
            <w:vAlign w:val="center"/>
          </w:tcPr>
          <w:p>
            <w:pPr>
              <w:jc w:val="center"/>
              <w:rPr>
                <w:rFonts w:ascii="宋体" w:hAnsi="宋体" w:eastAsia="宋体" w:cs="宋体"/>
                <w:b/>
                <w:bCs/>
                <w:sz w:val="20"/>
                <w:szCs w:val="20"/>
                <w:highlight w:val="none"/>
              </w:rPr>
            </w:pPr>
            <w:r>
              <w:rPr>
                <w:rFonts w:hint="eastAsia" w:ascii="宋体" w:hAnsi="宋体" w:eastAsia="宋体" w:cs="宋体"/>
                <w:b/>
                <w:bCs/>
                <w:sz w:val="20"/>
                <w:szCs w:val="20"/>
                <w:highlight w:val="none"/>
              </w:rPr>
              <w:t>合 计</w:t>
            </w:r>
          </w:p>
        </w:tc>
        <w:tc>
          <w:tcPr>
            <w:tcW w:w="1705" w:type="dxa"/>
            <w:vAlign w:val="center"/>
          </w:tcPr>
          <w:p>
            <w:pPr>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35</w:t>
            </w:r>
          </w:p>
        </w:tc>
        <w:tc>
          <w:tcPr>
            <w:tcW w:w="1575" w:type="dxa"/>
            <w:vAlign w:val="center"/>
          </w:tcPr>
          <w:p>
            <w:pPr>
              <w:jc w:val="center"/>
              <w:rPr>
                <w:rFonts w:hint="default" w:ascii="宋体" w:hAnsi="宋体" w:eastAsia="宋体" w:cs="宋体"/>
                <w:b/>
                <w:bCs/>
                <w:color w:val="auto"/>
                <w:sz w:val="20"/>
                <w:szCs w:val="20"/>
                <w:highlight w:val="yellow"/>
                <w:lang w:val="en-US" w:eastAsia="zh-CN"/>
              </w:rPr>
            </w:pPr>
            <w:r>
              <w:rPr>
                <w:rFonts w:hint="eastAsia" w:ascii="宋体" w:hAnsi="宋体" w:cs="宋体"/>
                <w:b/>
                <w:bCs/>
                <w:color w:val="auto"/>
                <w:sz w:val="20"/>
                <w:szCs w:val="20"/>
                <w:highlight w:val="none"/>
                <w:lang w:val="en-US" w:eastAsia="zh-CN"/>
              </w:rPr>
              <w:t>31</w:t>
            </w:r>
          </w:p>
        </w:tc>
      </w:tr>
      <w:bookmarkEnd w:id="27"/>
      <w:bookmarkEnd w:id="28"/>
      <w:bookmarkEnd w:id="29"/>
      <w:bookmarkEnd w:id="30"/>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eastAsia="zh-CN"/>
        </w:rPr>
      </w:pPr>
      <w:bookmarkStart w:id="32" w:name="_Toc11790"/>
      <w:bookmarkStart w:id="33" w:name="_Toc23593220"/>
      <w:r>
        <w:rPr>
          <w:rFonts w:hint="eastAsia" w:ascii="仿宋_GB2312" w:hAnsi="仿宋_GB2312" w:eastAsia="仿宋_GB2312" w:cs="仿宋_GB2312"/>
          <w:b/>
          <w:bCs/>
          <w:sz w:val="32"/>
          <w:szCs w:val="36"/>
          <w:highlight w:val="none"/>
          <w:lang w:val="en-US" w:eastAsia="zh-CN"/>
        </w:rPr>
        <w:t>1.组织实施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highlight w:val="none"/>
        </w:rPr>
      </w:pPr>
      <w:r>
        <w:rPr>
          <w:rFonts w:hint="eastAsia" w:ascii="仿宋_GB2312" w:hAnsi="仿宋_GB2312" w:eastAsia="仿宋_GB2312" w:cs="仿宋_GB2312"/>
          <w:b/>
          <w:bCs/>
          <w:color w:val="auto"/>
          <w:sz w:val="32"/>
          <w:szCs w:val="36"/>
          <w:highlight w:val="none"/>
          <w:lang w:val="en-US" w:eastAsia="zh-CN"/>
        </w:rPr>
        <w:t>管理制度健全性。</w:t>
      </w:r>
      <w:r>
        <w:rPr>
          <w:rFonts w:hint="eastAsia" w:ascii="仿宋_GB2312" w:hAnsi="仿宋_GB2312" w:eastAsia="仿宋_GB2312" w:cs="仿宋_GB2312"/>
          <w:b w:val="0"/>
          <w:bCs w:val="0"/>
          <w:color w:val="auto"/>
          <w:sz w:val="32"/>
          <w:szCs w:val="36"/>
          <w:highlight w:val="none"/>
          <w:lang w:val="en-US" w:eastAsia="zh-CN"/>
        </w:rPr>
        <w:t>经现场调研，</w:t>
      </w:r>
      <w:r>
        <w:rPr>
          <w:rFonts w:hint="eastAsia" w:ascii="仿宋_GB2312" w:hAnsi="仿宋_GB2312" w:eastAsia="仿宋_GB2312" w:cs="仿宋_GB2312"/>
          <w:sz w:val="32"/>
          <w:szCs w:val="32"/>
          <w:highlight w:val="none"/>
          <w:lang w:val="en-US" w:eastAsia="zh-CN"/>
        </w:rPr>
        <w:t>新城开发有限公司制定相关管理制度，</w:t>
      </w:r>
      <w:r>
        <w:rPr>
          <w:rFonts w:hint="eastAsia" w:ascii="仿宋_GB2312" w:hAnsi="仿宋_GB2312" w:eastAsia="仿宋_GB2312" w:cs="仿宋_GB2312"/>
          <w:b w:val="0"/>
          <w:bCs w:val="0"/>
          <w:color w:val="auto"/>
          <w:sz w:val="32"/>
          <w:szCs w:val="36"/>
          <w:highlight w:val="none"/>
          <w:lang w:val="en-US" w:eastAsia="zh-CN"/>
        </w:rPr>
        <w:t>明确项目责任分工、项目实施、采购流程等具体内容，管理制度健全、完整，合法合规。该指标满分4分，实际得分4分。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auto"/>
          <w:sz w:val="32"/>
          <w:szCs w:val="36"/>
          <w:highlight w:val="yellow"/>
          <w:lang w:val="en-US" w:eastAsia="zh-CN"/>
        </w:rPr>
      </w:pPr>
      <w:r>
        <w:rPr>
          <w:rFonts w:hint="eastAsia" w:ascii="仿宋_GB2312" w:hAnsi="仿宋_GB2312" w:eastAsia="仿宋_GB2312" w:cs="仿宋_GB2312"/>
          <w:b/>
          <w:bCs/>
          <w:color w:val="auto"/>
          <w:sz w:val="32"/>
          <w:szCs w:val="36"/>
          <w:highlight w:val="none"/>
          <w:lang w:val="en-US" w:eastAsia="zh-CN"/>
        </w:rPr>
        <w:t>财务制度健全性。</w:t>
      </w:r>
      <w:r>
        <w:rPr>
          <w:rFonts w:hint="eastAsia" w:ascii="仿宋_GB2312" w:hAnsi="仿宋_GB2312" w:eastAsia="仿宋_GB2312" w:cs="仿宋_GB2312"/>
          <w:b w:val="0"/>
          <w:bCs w:val="0"/>
          <w:color w:val="auto"/>
          <w:sz w:val="32"/>
          <w:szCs w:val="36"/>
          <w:highlight w:val="none"/>
          <w:lang w:val="en-US" w:eastAsia="zh-CN"/>
        </w:rPr>
        <w:t>经现场调研，</w:t>
      </w:r>
      <w:r>
        <w:rPr>
          <w:rFonts w:hint="eastAsia" w:ascii="仿宋_GB2312" w:hAnsi="仿宋_GB2312" w:eastAsia="仿宋_GB2312" w:cs="仿宋_GB2312"/>
          <w:sz w:val="32"/>
          <w:szCs w:val="32"/>
          <w:highlight w:val="none"/>
          <w:lang w:val="en-US" w:eastAsia="zh-CN"/>
        </w:rPr>
        <w:t>新城开发有限公司制定相关财务制度。但现场提供的财务凭证等相关材料存在缺失、不规范的情况，财政专项资金缺少2021年6月份前相关内容，科目摘要内容无法区分资金来源（一般性债券资金和区级财政配套资金）。</w:t>
      </w:r>
      <w:r>
        <w:rPr>
          <w:rFonts w:hint="eastAsia" w:ascii="仿宋_GB2312" w:hAnsi="仿宋_GB2312" w:eastAsia="仿宋_GB2312" w:cs="仿宋_GB2312"/>
          <w:b w:val="0"/>
          <w:bCs w:val="0"/>
          <w:color w:val="auto"/>
          <w:sz w:val="32"/>
          <w:szCs w:val="36"/>
          <w:highlight w:val="none"/>
          <w:lang w:val="en-US" w:eastAsia="zh-CN"/>
        </w:rPr>
        <w:t>该指标满分4分，实际得分2分。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rPr>
      </w:pPr>
      <w:r>
        <w:rPr>
          <w:rFonts w:hint="eastAsia" w:ascii="仿宋_GB2312" w:hAnsi="仿宋_GB2312" w:eastAsia="仿宋_GB2312" w:cs="仿宋_GB2312"/>
          <w:b/>
          <w:bCs/>
          <w:sz w:val="32"/>
          <w:szCs w:val="36"/>
          <w:highlight w:val="none"/>
          <w:lang w:val="en-US" w:eastAsia="zh-CN"/>
        </w:rPr>
        <w:t>2.资金管理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资金到位率。</w:t>
      </w:r>
      <w:r>
        <w:rPr>
          <w:rFonts w:hint="eastAsia" w:ascii="仿宋_GB2312" w:hAnsi="仿宋_GB2312" w:eastAsia="仿宋_GB2312" w:cs="仿宋_GB2312"/>
          <w:b w:val="0"/>
          <w:bCs w:val="0"/>
          <w:color w:val="auto"/>
          <w:sz w:val="32"/>
          <w:szCs w:val="36"/>
          <w:highlight w:val="none"/>
          <w:lang w:val="en-US" w:eastAsia="zh-CN"/>
        </w:rPr>
        <w:t>经现场调研，明山区财政局</w:t>
      </w:r>
      <w:r>
        <w:rPr>
          <w:rFonts w:hint="eastAsia" w:ascii="仿宋_GB2312" w:hAnsi="仿宋_GB2312" w:eastAsia="仿宋_GB2312" w:cs="仿宋_GB2312"/>
          <w:sz w:val="32"/>
          <w:szCs w:val="32"/>
          <w:highlight w:val="none"/>
          <w:lang w:val="en-US" w:eastAsia="zh-CN"/>
        </w:rPr>
        <w:t>拨付新城开发有限公司项目资金共计7560万元，其中5000万元为辽宁省政府一般债券资金，2560万元为明山区财政局自筹配套资金。</w:t>
      </w:r>
      <w:r>
        <w:rPr>
          <w:rFonts w:hint="eastAsia" w:ascii="仿宋_GB2312" w:hAnsi="仿宋_GB2312" w:eastAsia="仿宋_GB2312" w:cs="仿宋_GB2312"/>
          <w:b w:val="0"/>
          <w:bCs w:val="0"/>
          <w:color w:val="auto"/>
          <w:sz w:val="32"/>
          <w:szCs w:val="36"/>
          <w:highlight w:val="none"/>
          <w:lang w:val="en-US" w:eastAsia="zh-CN"/>
        </w:rPr>
        <w:t>该指标满分5分，实际得分5分。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资金支出进度。</w:t>
      </w:r>
      <w:r>
        <w:rPr>
          <w:rFonts w:hint="eastAsia" w:ascii="仿宋_GB2312" w:hAnsi="仿宋_GB2312" w:eastAsia="仿宋_GB2312" w:cs="仿宋_GB2312"/>
          <w:b w:val="0"/>
          <w:bCs w:val="0"/>
          <w:color w:val="auto"/>
          <w:sz w:val="32"/>
          <w:szCs w:val="36"/>
          <w:highlight w:val="none"/>
          <w:lang w:val="en-US" w:eastAsia="zh-CN"/>
        </w:rPr>
        <w:t>截至目前，威宁学校建设工程实际支出</w:t>
      </w:r>
      <w:r>
        <w:rPr>
          <w:rFonts w:hint="eastAsia" w:ascii="仿宋_GB2312" w:hAnsi="仿宋_GB2312" w:eastAsia="仿宋_GB2312" w:cs="仿宋_GB2312"/>
          <w:sz w:val="32"/>
          <w:szCs w:val="32"/>
          <w:highlight w:val="none"/>
          <w:lang w:val="en-US" w:eastAsia="zh-CN"/>
        </w:rPr>
        <w:t>6480.89万元，实际支出已超出申请获批辽宁省政府一般债券资金5000万元，超出部分均由明山区财政局自筹资金承担。</w:t>
      </w:r>
      <w:r>
        <w:rPr>
          <w:rFonts w:hint="eastAsia" w:ascii="仿宋_GB2312" w:hAnsi="仿宋_GB2312" w:eastAsia="仿宋_GB2312" w:cs="仿宋_GB2312"/>
          <w:b w:val="0"/>
          <w:bCs w:val="0"/>
          <w:color w:val="auto"/>
          <w:sz w:val="32"/>
          <w:szCs w:val="36"/>
          <w:highlight w:val="none"/>
          <w:lang w:val="en-US" w:eastAsia="zh-CN"/>
        </w:rPr>
        <w:t>该指标满分5分，实际得分5分。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资金使用合规性。</w:t>
      </w:r>
      <w:r>
        <w:rPr>
          <w:rFonts w:hint="eastAsia" w:ascii="仿宋_GB2312" w:hAnsi="仿宋_GB2312" w:eastAsia="仿宋_GB2312" w:cs="仿宋_GB2312"/>
          <w:b w:val="0"/>
          <w:bCs w:val="0"/>
          <w:color w:val="auto"/>
          <w:sz w:val="32"/>
          <w:szCs w:val="36"/>
          <w:highlight w:val="none"/>
          <w:lang w:val="en-US" w:eastAsia="zh-CN"/>
        </w:rPr>
        <w:t>经现场调研，项目资金在使用过程中合法合规，</w:t>
      </w:r>
      <w:r>
        <w:rPr>
          <w:rFonts w:hint="eastAsia" w:ascii="仿宋_GB2312" w:hAnsi="仿宋_GB2312" w:eastAsia="仿宋_GB2312" w:cs="仿宋_GB2312"/>
          <w:sz w:val="32"/>
          <w:szCs w:val="32"/>
          <w:highlight w:val="none"/>
          <w:lang w:val="en-US" w:eastAsia="zh-CN"/>
        </w:rPr>
        <w:t>新城开发有限公司严格按照财务管理和项目管理要求执行，</w:t>
      </w:r>
      <w:r>
        <w:rPr>
          <w:rFonts w:hint="eastAsia" w:ascii="仿宋_GB2312" w:hAnsi="仿宋_GB2312" w:eastAsia="仿宋_GB2312" w:cs="仿宋_GB2312"/>
          <w:b w:val="0"/>
          <w:bCs w:val="0"/>
          <w:color w:val="auto"/>
          <w:sz w:val="32"/>
          <w:szCs w:val="36"/>
          <w:highlight w:val="none"/>
          <w:lang w:val="en-US" w:eastAsia="zh-CN"/>
        </w:rPr>
        <w:t>未发现截留、挤占、挪用、虚列支出等情况。该指标满分4分，实际得分4分。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3.项目管理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合同管理规范性。</w:t>
      </w:r>
      <w:r>
        <w:rPr>
          <w:rFonts w:hint="eastAsia" w:ascii="仿宋_GB2312" w:hAnsi="仿宋_GB2312" w:eastAsia="仿宋_GB2312" w:cs="仿宋_GB2312"/>
          <w:b w:val="0"/>
          <w:bCs w:val="0"/>
          <w:color w:val="auto"/>
          <w:sz w:val="32"/>
          <w:szCs w:val="36"/>
          <w:highlight w:val="none"/>
          <w:lang w:val="en-US" w:eastAsia="zh-CN"/>
        </w:rPr>
        <w:t>经现场调研，新城开发有限公司与项目承建单位签订建设工程施工正式合同，合同内容规范，合同盖有双方公章附带工程质量保修书。合同主要包括发（承）包人、工程概况、合同工期、签约价格、项目负责人等主要内容,但缺少工程进度款支付有关内容和签约时间。该指标满分4分，实际得分2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6"/>
          <w:highlight w:val="yellow"/>
          <w:lang w:val="en-US" w:eastAsia="zh-CN"/>
        </w:rPr>
      </w:pPr>
      <w:r>
        <w:rPr>
          <w:rFonts w:hint="eastAsia" w:ascii="仿宋_GB2312" w:hAnsi="仿宋_GB2312" w:eastAsia="仿宋_GB2312" w:cs="仿宋_GB2312"/>
          <w:b/>
          <w:bCs/>
          <w:color w:val="auto"/>
          <w:sz w:val="32"/>
          <w:szCs w:val="36"/>
          <w:highlight w:val="none"/>
          <w:lang w:val="en-US" w:eastAsia="zh-CN"/>
        </w:rPr>
        <w:t>项目实施规范性。</w:t>
      </w:r>
      <w:r>
        <w:rPr>
          <w:rFonts w:hint="eastAsia" w:ascii="仿宋_GB2312" w:hAnsi="仿宋_GB2312" w:eastAsia="仿宋_GB2312" w:cs="仿宋_GB2312"/>
          <w:b w:val="0"/>
          <w:bCs w:val="0"/>
          <w:color w:val="auto"/>
          <w:sz w:val="32"/>
          <w:szCs w:val="36"/>
          <w:highlight w:val="none"/>
          <w:lang w:val="en-US" w:eastAsia="zh-CN"/>
        </w:rPr>
        <w:t>经现场调研，新城开发有限公司安排项目经理负责威宁学校建设工程，对项目周期、项目质量、工程进度进行全程跟踪。该指标满分5分，实际得分5分。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项目验收规范性。</w:t>
      </w:r>
      <w:r>
        <w:rPr>
          <w:rFonts w:hint="eastAsia" w:ascii="仿宋_GB2312" w:hAnsi="仿宋_GB2312" w:eastAsia="仿宋_GB2312" w:cs="仿宋_GB2312"/>
          <w:b w:val="0"/>
          <w:bCs w:val="0"/>
          <w:color w:val="auto"/>
          <w:sz w:val="32"/>
          <w:szCs w:val="36"/>
          <w:highlight w:val="none"/>
          <w:lang w:val="en-US" w:eastAsia="zh-CN"/>
        </w:rPr>
        <w:t>经现场调研，威宁学校建设工程整体尚未完成最终验收。但验收程序符合相关法律法规要求，已完成部分验收材料齐全。该指标满分4分，实际得分4分。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黑体" w:hAnsi="黑体" w:eastAsia="仿宋"/>
          <w:b w:val="0"/>
          <w:bCs w:val="0"/>
          <w:sz w:val="32"/>
          <w:szCs w:val="36"/>
          <w:highlight w:val="yellow"/>
          <w:lang w:val="en-US" w:eastAsia="zh-CN"/>
        </w:rPr>
      </w:pPr>
      <w:bookmarkStart w:id="34" w:name="_Toc30426"/>
      <w:r>
        <w:rPr>
          <w:rFonts w:hint="eastAsia" w:ascii="楷体_GB2312" w:hAnsi="仿宋" w:eastAsia="楷体_GB2312"/>
          <w:b w:val="0"/>
          <w:bCs w:val="0"/>
          <w:sz w:val="32"/>
          <w:szCs w:val="36"/>
          <w:highlight w:val="none"/>
        </w:rPr>
        <w:t>（</w:t>
      </w:r>
      <w:r>
        <w:rPr>
          <w:rFonts w:hint="eastAsia" w:ascii="楷体_GB2312" w:hAnsi="仿宋" w:eastAsia="楷体_GB2312"/>
          <w:b w:val="0"/>
          <w:bCs w:val="0"/>
          <w:sz w:val="32"/>
          <w:szCs w:val="36"/>
          <w:highlight w:val="none"/>
          <w:lang w:val="en-US" w:eastAsia="zh-CN"/>
        </w:rPr>
        <w:t>三</w:t>
      </w:r>
      <w:r>
        <w:rPr>
          <w:rFonts w:hint="eastAsia" w:ascii="楷体_GB2312" w:hAnsi="仿宋" w:eastAsia="楷体_GB2312"/>
          <w:b w:val="0"/>
          <w:bCs w:val="0"/>
          <w:sz w:val="32"/>
          <w:szCs w:val="36"/>
          <w:highlight w:val="none"/>
        </w:rPr>
        <w:t>）</w:t>
      </w:r>
      <w:r>
        <w:rPr>
          <w:rFonts w:hint="eastAsia" w:ascii="楷体_GB2312" w:hAnsi="仿宋" w:eastAsia="楷体_GB2312"/>
          <w:b w:val="0"/>
          <w:bCs w:val="0"/>
          <w:sz w:val="32"/>
          <w:szCs w:val="36"/>
          <w:highlight w:val="none"/>
          <w:lang w:val="en-US" w:eastAsia="zh-CN"/>
        </w:rPr>
        <w:t>项目产出情况</w:t>
      </w:r>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sz w:val="24"/>
          <w:szCs w:val="24"/>
          <w:highlight w:val="none"/>
        </w:rPr>
      </w:pPr>
      <w:r>
        <w:rPr>
          <w:rFonts w:hint="eastAsia" w:ascii="仿宋_GB2312" w:hAnsi="仿宋_GB2312" w:eastAsia="仿宋_GB2312" w:cs="仿宋_GB2312"/>
          <w:b w:val="0"/>
          <w:bCs w:val="0"/>
          <w:color w:val="auto"/>
          <w:sz w:val="32"/>
          <w:szCs w:val="36"/>
          <w:highlight w:val="none"/>
          <w:lang w:val="en-US" w:eastAsia="zh-CN"/>
        </w:rPr>
        <w:t>产出指标分值为25分，得分为16分，指标得分率为64%。下设4个二级指标，5个三级指标。各级指标设定及评分详见下表</w:t>
      </w:r>
      <w:r>
        <w:rPr>
          <w:rFonts w:hint="eastAsia" w:ascii="仿宋_GB2312" w:hAnsi="仿宋_GB2312" w:eastAsia="仿宋_GB2312" w:cs="仿宋_GB2312"/>
          <w:color w:val="auto"/>
          <w:sz w:val="32"/>
          <w:szCs w:val="36"/>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黑体" w:hAnsi="黑体" w:eastAsia="黑体" w:cs="黑体"/>
          <w:sz w:val="24"/>
          <w:szCs w:val="24"/>
          <w:highlight w:val="none"/>
        </w:rPr>
      </w:pPr>
      <w:r>
        <w:rPr>
          <w:rFonts w:hint="eastAsia" w:ascii="黑体" w:hAnsi="黑体" w:eastAsia="黑体" w:cs="黑体"/>
          <w:sz w:val="24"/>
          <w:szCs w:val="24"/>
          <w:highlight w:val="none"/>
        </w:rPr>
        <w:t>表</w:t>
      </w:r>
      <w:r>
        <w:rPr>
          <w:rFonts w:hint="eastAsia" w:ascii="黑体" w:hAnsi="黑体" w:eastAsia="黑体" w:cs="黑体"/>
          <w:sz w:val="24"/>
          <w:szCs w:val="24"/>
          <w:highlight w:val="none"/>
          <w:lang w:val="en-US" w:eastAsia="zh-CN"/>
        </w:rPr>
        <w:t>4-3</w:t>
      </w:r>
      <w:r>
        <w:rPr>
          <w:rFonts w:hint="eastAsia" w:ascii="黑体" w:hAnsi="黑体" w:eastAsia="黑体" w:cs="黑体"/>
          <w:sz w:val="24"/>
          <w:szCs w:val="24"/>
          <w:highlight w:val="none"/>
        </w:rPr>
        <w:t xml:space="preserve"> </w:t>
      </w:r>
      <w:r>
        <w:rPr>
          <w:rFonts w:hint="eastAsia" w:ascii="黑体" w:hAnsi="黑体" w:eastAsia="黑体" w:cs="黑体"/>
          <w:sz w:val="24"/>
          <w:szCs w:val="24"/>
          <w:highlight w:val="none"/>
          <w:lang w:val="en-US" w:eastAsia="zh-CN"/>
        </w:rPr>
        <w:t>产出</w:t>
      </w:r>
      <w:r>
        <w:rPr>
          <w:rFonts w:hint="eastAsia" w:ascii="黑体" w:hAnsi="黑体" w:eastAsia="黑体" w:cs="黑体"/>
          <w:sz w:val="24"/>
          <w:szCs w:val="24"/>
          <w:highlight w:val="none"/>
        </w:rPr>
        <w:t>指标得分情况表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608"/>
        <w:gridCol w:w="2244"/>
        <w:gridCol w:w="155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11" w:type="dxa"/>
            <w:shd w:val="clear" w:color="auto" w:fill="auto"/>
            <w:vAlign w:val="center"/>
          </w:tcPr>
          <w:p>
            <w:pPr>
              <w:jc w:val="center"/>
              <w:outlineLvl w:val="9"/>
              <w:rPr>
                <w:rFonts w:ascii="宋体" w:hAnsi="宋体" w:eastAsia="宋体" w:cs="宋体"/>
                <w:b/>
                <w:bCs/>
                <w:sz w:val="20"/>
                <w:szCs w:val="20"/>
                <w:highlight w:val="none"/>
              </w:rPr>
            </w:pPr>
            <w:r>
              <w:rPr>
                <w:rFonts w:hint="eastAsia" w:ascii="宋体" w:hAnsi="宋体" w:eastAsia="宋体" w:cs="宋体"/>
                <w:b/>
                <w:bCs/>
                <w:sz w:val="20"/>
                <w:szCs w:val="20"/>
                <w:highlight w:val="none"/>
              </w:rPr>
              <w:t>一级指标</w:t>
            </w:r>
          </w:p>
        </w:tc>
        <w:tc>
          <w:tcPr>
            <w:tcW w:w="1608" w:type="dxa"/>
            <w:shd w:val="clear" w:color="auto" w:fill="auto"/>
            <w:vAlign w:val="center"/>
          </w:tcPr>
          <w:p>
            <w:pPr>
              <w:jc w:val="center"/>
              <w:outlineLvl w:val="9"/>
              <w:rPr>
                <w:rFonts w:ascii="宋体" w:hAnsi="宋体" w:eastAsia="宋体" w:cs="宋体"/>
                <w:b/>
                <w:bCs/>
                <w:sz w:val="20"/>
                <w:szCs w:val="20"/>
                <w:highlight w:val="none"/>
              </w:rPr>
            </w:pPr>
            <w:r>
              <w:rPr>
                <w:rFonts w:hint="eastAsia" w:ascii="宋体" w:hAnsi="宋体" w:eastAsia="宋体" w:cs="宋体"/>
                <w:b/>
                <w:bCs/>
                <w:sz w:val="20"/>
                <w:szCs w:val="20"/>
                <w:highlight w:val="none"/>
              </w:rPr>
              <w:t>二级指标</w:t>
            </w:r>
          </w:p>
        </w:tc>
        <w:tc>
          <w:tcPr>
            <w:tcW w:w="2244" w:type="dxa"/>
            <w:shd w:val="clear" w:color="auto" w:fill="auto"/>
            <w:vAlign w:val="center"/>
          </w:tcPr>
          <w:p>
            <w:pPr>
              <w:jc w:val="center"/>
              <w:outlineLvl w:val="9"/>
              <w:rPr>
                <w:rFonts w:ascii="宋体" w:hAnsi="宋体" w:eastAsia="宋体" w:cs="宋体"/>
                <w:b/>
                <w:bCs/>
                <w:sz w:val="20"/>
                <w:szCs w:val="20"/>
                <w:highlight w:val="none"/>
              </w:rPr>
            </w:pPr>
            <w:r>
              <w:rPr>
                <w:rFonts w:hint="eastAsia" w:ascii="宋体" w:hAnsi="宋体" w:eastAsia="宋体" w:cs="宋体"/>
                <w:b/>
                <w:bCs/>
                <w:sz w:val="20"/>
                <w:szCs w:val="20"/>
                <w:highlight w:val="none"/>
              </w:rPr>
              <w:t>三级指标</w:t>
            </w:r>
          </w:p>
        </w:tc>
        <w:tc>
          <w:tcPr>
            <w:tcW w:w="1554" w:type="dxa"/>
            <w:shd w:val="clear" w:color="auto" w:fill="auto"/>
            <w:vAlign w:val="center"/>
          </w:tcPr>
          <w:p>
            <w:pPr>
              <w:jc w:val="center"/>
              <w:outlineLvl w:val="9"/>
              <w:rPr>
                <w:rFonts w:ascii="宋体" w:hAnsi="宋体" w:eastAsia="宋体" w:cs="宋体"/>
                <w:b/>
                <w:bCs/>
                <w:sz w:val="20"/>
                <w:szCs w:val="20"/>
                <w:highlight w:val="none"/>
              </w:rPr>
            </w:pPr>
            <w:r>
              <w:rPr>
                <w:rFonts w:hint="eastAsia" w:ascii="宋体" w:hAnsi="宋体" w:eastAsia="宋体" w:cs="宋体"/>
                <w:b/>
                <w:bCs/>
                <w:sz w:val="20"/>
                <w:szCs w:val="20"/>
                <w:highlight w:val="none"/>
              </w:rPr>
              <w:t>指标分值</w:t>
            </w:r>
          </w:p>
        </w:tc>
        <w:tc>
          <w:tcPr>
            <w:tcW w:w="1705" w:type="dxa"/>
            <w:shd w:val="clear" w:color="auto" w:fill="auto"/>
            <w:vAlign w:val="center"/>
          </w:tcPr>
          <w:p>
            <w:pPr>
              <w:jc w:val="center"/>
              <w:outlineLvl w:val="9"/>
              <w:rPr>
                <w:rFonts w:ascii="宋体" w:hAnsi="宋体" w:eastAsia="宋体" w:cs="宋体"/>
                <w:b/>
                <w:bCs/>
                <w:sz w:val="20"/>
                <w:szCs w:val="20"/>
                <w:highlight w:val="none"/>
              </w:rPr>
            </w:pPr>
            <w:r>
              <w:rPr>
                <w:rFonts w:hint="eastAsia" w:ascii="宋体" w:hAnsi="宋体" w:eastAsia="宋体" w:cs="宋体"/>
                <w:b/>
                <w:bCs/>
                <w:sz w:val="20"/>
                <w:szCs w:val="20"/>
                <w:highlight w:val="none"/>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1" w:type="dxa"/>
            <w:vMerge w:val="restart"/>
            <w:shd w:val="clear" w:color="auto" w:fill="auto"/>
            <w:vAlign w:val="center"/>
          </w:tcPr>
          <w:p>
            <w:pPr>
              <w:jc w:val="center"/>
              <w:outlineLvl w:val="9"/>
              <w:rPr>
                <w:rFonts w:ascii="宋体" w:hAnsi="宋体" w:eastAsia="宋体" w:cs="宋体"/>
                <w:sz w:val="20"/>
                <w:szCs w:val="20"/>
                <w:highlight w:val="yellow"/>
              </w:rPr>
            </w:pPr>
            <w:r>
              <w:rPr>
                <w:rFonts w:hint="eastAsia" w:ascii="宋体" w:hAnsi="宋体" w:eastAsia="宋体" w:cs="宋体"/>
                <w:b/>
                <w:bCs/>
                <w:sz w:val="20"/>
                <w:szCs w:val="20"/>
                <w:highlight w:val="none"/>
                <w:lang w:val="en-US" w:eastAsia="zh-CN"/>
              </w:rPr>
              <w:t>产出</w:t>
            </w:r>
            <w:r>
              <w:rPr>
                <w:rFonts w:ascii="宋体" w:hAnsi="宋体" w:eastAsia="宋体" w:cs="宋体"/>
                <w:b/>
                <w:bCs/>
                <w:sz w:val="20"/>
                <w:szCs w:val="20"/>
                <w:highlight w:val="none"/>
              </w:rPr>
              <w:br w:type="textWrapping"/>
            </w:r>
            <w:r>
              <w:rPr>
                <w:rFonts w:hint="eastAsia" w:ascii="宋体" w:hAnsi="宋体" w:eastAsia="宋体" w:cs="宋体"/>
                <w:b/>
                <w:bCs/>
                <w:sz w:val="20"/>
                <w:szCs w:val="20"/>
                <w:highlight w:val="none"/>
              </w:rPr>
              <w:t>（</w:t>
            </w:r>
            <w:r>
              <w:rPr>
                <w:rFonts w:hint="eastAsia" w:ascii="宋体" w:hAnsi="宋体" w:cs="宋体"/>
                <w:b/>
                <w:bCs/>
                <w:sz w:val="20"/>
                <w:szCs w:val="20"/>
                <w:highlight w:val="none"/>
                <w:lang w:val="en-US" w:eastAsia="zh-CN"/>
              </w:rPr>
              <w:t>25</w:t>
            </w:r>
            <w:r>
              <w:rPr>
                <w:rFonts w:hint="eastAsia" w:ascii="宋体" w:hAnsi="宋体" w:eastAsia="宋体" w:cs="宋体"/>
                <w:b/>
                <w:bCs/>
                <w:sz w:val="20"/>
                <w:szCs w:val="20"/>
                <w:highlight w:val="none"/>
              </w:rPr>
              <w:t>）</w:t>
            </w:r>
          </w:p>
        </w:tc>
        <w:tc>
          <w:tcPr>
            <w:tcW w:w="1608" w:type="dxa"/>
            <w:shd w:val="clear" w:color="auto" w:fill="auto"/>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产出数量</w:t>
            </w:r>
          </w:p>
        </w:tc>
        <w:tc>
          <w:tcPr>
            <w:tcW w:w="2244" w:type="dxa"/>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学校建设情况</w:t>
            </w:r>
          </w:p>
        </w:tc>
        <w:tc>
          <w:tcPr>
            <w:tcW w:w="1554" w:type="dxa"/>
            <w:shd w:val="clear" w:color="auto" w:fill="auto"/>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w:t>
            </w:r>
          </w:p>
        </w:tc>
        <w:tc>
          <w:tcPr>
            <w:tcW w:w="1705" w:type="dxa"/>
            <w:shd w:val="clear" w:color="auto" w:fill="auto"/>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1" w:type="dxa"/>
            <w:vMerge w:val="continue"/>
            <w:shd w:val="clear" w:color="auto" w:fill="auto"/>
            <w:vAlign w:val="center"/>
          </w:tcPr>
          <w:p>
            <w:pPr>
              <w:jc w:val="center"/>
              <w:outlineLvl w:val="9"/>
              <w:rPr>
                <w:rFonts w:ascii="宋体" w:hAnsi="宋体" w:eastAsia="宋体" w:cs="宋体"/>
                <w:sz w:val="20"/>
                <w:szCs w:val="20"/>
                <w:highlight w:val="yellow"/>
              </w:rPr>
            </w:pPr>
          </w:p>
        </w:tc>
        <w:tc>
          <w:tcPr>
            <w:tcW w:w="1608" w:type="dxa"/>
            <w:shd w:val="clear" w:color="auto" w:fill="auto"/>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产出质量</w:t>
            </w:r>
          </w:p>
        </w:tc>
        <w:tc>
          <w:tcPr>
            <w:tcW w:w="2244" w:type="dxa"/>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项目验收合格率</w:t>
            </w:r>
          </w:p>
        </w:tc>
        <w:tc>
          <w:tcPr>
            <w:tcW w:w="1554" w:type="dxa"/>
            <w:shd w:val="clear" w:color="auto" w:fill="auto"/>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w:t>
            </w:r>
          </w:p>
        </w:tc>
        <w:tc>
          <w:tcPr>
            <w:tcW w:w="1705" w:type="dxa"/>
            <w:shd w:val="clear" w:color="auto" w:fill="auto"/>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jc w:val="center"/>
              <w:outlineLvl w:val="9"/>
              <w:rPr>
                <w:rFonts w:ascii="宋体" w:hAnsi="宋体" w:eastAsia="宋体" w:cs="宋体"/>
                <w:sz w:val="20"/>
                <w:szCs w:val="20"/>
                <w:highlight w:val="yellow"/>
              </w:rPr>
            </w:pPr>
          </w:p>
        </w:tc>
        <w:tc>
          <w:tcPr>
            <w:tcW w:w="1608" w:type="dxa"/>
            <w:vMerge w:val="restart"/>
            <w:vAlign w:val="center"/>
          </w:tcPr>
          <w:p>
            <w:pPr>
              <w:jc w:val="center"/>
              <w:outlineLvl w:val="9"/>
              <w:rPr>
                <w:rFonts w:ascii="宋体" w:hAnsi="宋体" w:eastAsia="宋体" w:cs="宋体"/>
                <w:sz w:val="20"/>
                <w:szCs w:val="20"/>
                <w:highlight w:val="none"/>
              </w:rPr>
            </w:pPr>
            <w:r>
              <w:rPr>
                <w:rFonts w:hint="eastAsia" w:ascii="宋体" w:hAnsi="宋体" w:eastAsia="宋体" w:cs="宋体"/>
                <w:sz w:val="20"/>
                <w:szCs w:val="20"/>
                <w:highlight w:val="none"/>
                <w:lang w:val="en-US" w:eastAsia="zh-CN"/>
              </w:rPr>
              <w:t>产出时效</w:t>
            </w:r>
          </w:p>
        </w:tc>
        <w:tc>
          <w:tcPr>
            <w:tcW w:w="2244"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资金拨付及时性</w:t>
            </w:r>
          </w:p>
        </w:tc>
        <w:tc>
          <w:tcPr>
            <w:tcW w:w="1554" w:type="dxa"/>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w:t>
            </w:r>
          </w:p>
        </w:tc>
        <w:tc>
          <w:tcPr>
            <w:tcW w:w="1705" w:type="dxa"/>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jc w:val="center"/>
              <w:outlineLvl w:val="9"/>
              <w:rPr>
                <w:rFonts w:ascii="宋体" w:hAnsi="宋体" w:eastAsia="宋体" w:cs="宋体"/>
                <w:sz w:val="20"/>
                <w:szCs w:val="20"/>
                <w:highlight w:val="yellow"/>
              </w:rPr>
            </w:pPr>
          </w:p>
        </w:tc>
        <w:tc>
          <w:tcPr>
            <w:tcW w:w="1608" w:type="dxa"/>
            <w:vMerge w:val="continue"/>
            <w:vAlign w:val="center"/>
          </w:tcPr>
          <w:p>
            <w:pPr>
              <w:jc w:val="center"/>
              <w:outlineLvl w:val="9"/>
              <w:rPr>
                <w:rFonts w:ascii="宋体" w:hAnsi="宋体" w:eastAsia="宋体" w:cs="宋体"/>
                <w:sz w:val="20"/>
                <w:szCs w:val="20"/>
                <w:highlight w:val="none"/>
              </w:rPr>
            </w:pPr>
          </w:p>
        </w:tc>
        <w:tc>
          <w:tcPr>
            <w:tcW w:w="2244"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项目完工及时性</w:t>
            </w:r>
          </w:p>
        </w:tc>
        <w:tc>
          <w:tcPr>
            <w:tcW w:w="1554" w:type="dxa"/>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w:t>
            </w:r>
          </w:p>
        </w:tc>
        <w:tc>
          <w:tcPr>
            <w:tcW w:w="1705" w:type="dxa"/>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jc w:val="center"/>
              <w:outlineLvl w:val="9"/>
              <w:rPr>
                <w:rFonts w:ascii="宋体" w:hAnsi="宋体" w:eastAsia="宋体" w:cs="宋体"/>
                <w:sz w:val="20"/>
                <w:szCs w:val="20"/>
                <w:highlight w:val="yellow"/>
              </w:rPr>
            </w:pPr>
          </w:p>
        </w:tc>
        <w:tc>
          <w:tcPr>
            <w:tcW w:w="1608" w:type="dxa"/>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产出成本</w:t>
            </w:r>
          </w:p>
        </w:tc>
        <w:tc>
          <w:tcPr>
            <w:tcW w:w="2244"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成本控制情况</w:t>
            </w:r>
          </w:p>
        </w:tc>
        <w:tc>
          <w:tcPr>
            <w:tcW w:w="1554" w:type="dxa"/>
            <w:vAlign w:val="center"/>
          </w:tcPr>
          <w:p>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w:t>
            </w:r>
          </w:p>
        </w:tc>
        <w:tc>
          <w:tcPr>
            <w:tcW w:w="1705" w:type="dxa"/>
            <w:vAlign w:val="center"/>
          </w:tcPr>
          <w:p>
            <w:pPr>
              <w:jc w:val="center"/>
              <w:outlineLvl w:val="9"/>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63" w:type="dxa"/>
            <w:gridSpan w:val="3"/>
            <w:vAlign w:val="center"/>
          </w:tcPr>
          <w:p>
            <w:pPr>
              <w:jc w:val="center"/>
              <w:outlineLvl w:val="9"/>
              <w:rPr>
                <w:rFonts w:ascii="宋体" w:hAnsi="宋体" w:eastAsia="宋体" w:cs="宋体"/>
                <w:b/>
                <w:bCs/>
                <w:sz w:val="20"/>
                <w:szCs w:val="20"/>
                <w:highlight w:val="yellow"/>
              </w:rPr>
            </w:pPr>
            <w:r>
              <w:rPr>
                <w:rFonts w:hint="eastAsia" w:ascii="宋体" w:hAnsi="宋体" w:eastAsia="宋体" w:cs="宋体"/>
                <w:b/>
                <w:bCs/>
                <w:sz w:val="20"/>
                <w:szCs w:val="20"/>
                <w:highlight w:val="none"/>
              </w:rPr>
              <w:t>合 计</w:t>
            </w:r>
          </w:p>
        </w:tc>
        <w:tc>
          <w:tcPr>
            <w:tcW w:w="1554" w:type="dxa"/>
            <w:vAlign w:val="center"/>
          </w:tcPr>
          <w:p>
            <w:pPr>
              <w:jc w:val="center"/>
              <w:outlineLvl w:val="9"/>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25</w:t>
            </w:r>
          </w:p>
        </w:tc>
        <w:tc>
          <w:tcPr>
            <w:tcW w:w="1705" w:type="dxa"/>
            <w:vAlign w:val="center"/>
          </w:tcPr>
          <w:p>
            <w:pPr>
              <w:jc w:val="center"/>
              <w:outlineLvl w:val="9"/>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16</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rPr>
      </w:pPr>
      <w:r>
        <w:rPr>
          <w:rFonts w:hint="eastAsia" w:ascii="仿宋_GB2312" w:hAnsi="仿宋_GB2312" w:eastAsia="仿宋_GB2312" w:cs="仿宋_GB2312"/>
          <w:b/>
          <w:bCs/>
          <w:sz w:val="32"/>
          <w:szCs w:val="36"/>
          <w:highlight w:val="none"/>
          <w:lang w:val="en-US" w:eastAsia="zh-CN"/>
        </w:rPr>
        <w:t>1.产出数量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黑体" w:hAnsi="黑体" w:eastAsia="黑体"/>
          <w:sz w:val="32"/>
          <w:szCs w:val="36"/>
          <w:highlight w:val="yellow"/>
          <w:lang w:val="en-US"/>
        </w:rPr>
      </w:pPr>
      <w:r>
        <w:rPr>
          <w:rFonts w:hint="eastAsia" w:ascii="仿宋_GB2312" w:hAnsi="仿宋_GB2312" w:eastAsia="仿宋_GB2312" w:cs="仿宋_GB2312"/>
          <w:b/>
          <w:bCs/>
          <w:color w:val="auto"/>
          <w:sz w:val="32"/>
          <w:szCs w:val="36"/>
          <w:highlight w:val="none"/>
          <w:lang w:val="en-US" w:eastAsia="zh-CN"/>
        </w:rPr>
        <w:t>学校建设情况。</w:t>
      </w:r>
      <w:r>
        <w:rPr>
          <w:rFonts w:hint="eastAsia" w:ascii="仿宋_GB2312" w:hAnsi="仿宋_GB2312" w:eastAsia="仿宋_GB2312" w:cs="仿宋_GB2312"/>
          <w:b w:val="0"/>
          <w:bCs w:val="0"/>
          <w:color w:val="auto"/>
          <w:sz w:val="32"/>
          <w:szCs w:val="36"/>
          <w:highlight w:val="none"/>
          <w:lang w:val="en-US" w:eastAsia="zh-CN"/>
        </w:rPr>
        <w:t>威宁学校建设工程如期交付并于2021年9月1日投入使用，所有主体建筑以及其它基础设施均已完成。该指标满分5分，实际得分5分。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rPr>
      </w:pPr>
      <w:r>
        <w:rPr>
          <w:rFonts w:hint="eastAsia" w:ascii="仿宋_GB2312" w:hAnsi="仿宋_GB2312" w:eastAsia="仿宋_GB2312" w:cs="仿宋_GB2312"/>
          <w:b/>
          <w:bCs/>
          <w:sz w:val="32"/>
          <w:szCs w:val="36"/>
          <w:highlight w:val="none"/>
          <w:lang w:val="en-US" w:eastAsia="zh-CN"/>
        </w:rPr>
        <w:t>2.产出质量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黑体" w:hAnsi="黑体" w:eastAsia="黑体"/>
          <w:sz w:val="32"/>
          <w:szCs w:val="36"/>
          <w:highlight w:val="none"/>
          <w:lang w:val="en-US"/>
        </w:rPr>
      </w:pPr>
      <w:r>
        <w:rPr>
          <w:rFonts w:hint="eastAsia" w:ascii="仿宋_GB2312" w:hAnsi="仿宋_GB2312" w:eastAsia="仿宋_GB2312" w:cs="仿宋_GB2312"/>
          <w:b/>
          <w:bCs/>
          <w:color w:val="auto"/>
          <w:sz w:val="32"/>
          <w:szCs w:val="36"/>
          <w:highlight w:val="none"/>
          <w:lang w:val="en-US" w:eastAsia="zh-CN"/>
        </w:rPr>
        <w:t>项目验收合格率。</w:t>
      </w:r>
      <w:r>
        <w:rPr>
          <w:rFonts w:hint="eastAsia" w:ascii="仿宋_GB2312" w:hAnsi="仿宋_GB2312" w:eastAsia="仿宋_GB2312" w:cs="仿宋_GB2312"/>
          <w:b w:val="0"/>
          <w:bCs w:val="0"/>
          <w:color w:val="auto"/>
          <w:sz w:val="32"/>
          <w:szCs w:val="36"/>
          <w:highlight w:val="none"/>
          <w:lang w:val="en-US" w:eastAsia="zh-CN"/>
        </w:rPr>
        <w:t>经现场调研，威宁学校建设工程尚未完成项目整体验收工作，消防验收仍处于整改阶段，其它部分验收工作已完成或已上报验收材料待审核阶段。该指标满分5分，实际得分2分。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rPr>
      </w:pPr>
      <w:r>
        <w:rPr>
          <w:rFonts w:hint="eastAsia" w:ascii="仿宋_GB2312" w:hAnsi="仿宋_GB2312" w:eastAsia="仿宋_GB2312" w:cs="仿宋_GB2312"/>
          <w:b/>
          <w:bCs/>
          <w:sz w:val="32"/>
          <w:szCs w:val="36"/>
          <w:highlight w:val="none"/>
          <w:lang w:val="en-US" w:eastAsia="zh-CN"/>
        </w:rPr>
        <w:t>3.产出时效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黑体" w:hAnsi="黑体" w:eastAsia="黑体"/>
          <w:color w:val="auto"/>
          <w:sz w:val="32"/>
          <w:szCs w:val="36"/>
          <w:highlight w:val="none"/>
          <w:lang w:val="en-US"/>
        </w:rPr>
      </w:pPr>
      <w:r>
        <w:rPr>
          <w:rFonts w:hint="eastAsia" w:ascii="仿宋_GB2312" w:hAnsi="仿宋_GB2312" w:eastAsia="仿宋_GB2312" w:cs="仿宋_GB2312"/>
          <w:b/>
          <w:bCs/>
          <w:color w:val="auto"/>
          <w:sz w:val="32"/>
          <w:szCs w:val="36"/>
          <w:highlight w:val="none"/>
          <w:lang w:val="en-US" w:eastAsia="zh-CN"/>
        </w:rPr>
        <w:t>资金拨付及时性。</w:t>
      </w:r>
      <w:r>
        <w:rPr>
          <w:rFonts w:hint="eastAsia" w:ascii="仿宋_GB2312" w:hAnsi="仿宋_GB2312" w:eastAsia="仿宋_GB2312" w:cs="仿宋_GB2312"/>
          <w:b w:val="0"/>
          <w:bCs w:val="0"/>
          <w:color w:val="auto"/>
          <w:sz w:val="32"/>
          <w:szCs w:val="36"/>
          <w:highlight w:val="none"/>
          <w:lang w:val="en-US" w:eastAsia="zh-CN"/>
        </w:rPr>
        <w:t>经现场调研，新城开发有限公司与辽宁民盛建安工程有限公司签订建设工程施工合同，但合同内容未对工程款支付期限进行有关设定。据了解威宁学校建设工程施工前期，由于财政资金紧张长期不到位，导致新城开发有限公司工程款结算时间长达四至六个月。直至辽宁省政府一般性债券资金到位后才有所缓解，多数为月度结算。该指标满分5分，实际得分0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黑体" w:hAnsi="黑体" w:eastAsia="黑体"/>
          <w:sz w:val="32"/>
          <w:szCs w:val="36"/>
          <w:highlight w:val="none"/>
          <w:lang w:val="en-US"/>
        </w:rPr>
      </w:pPr>
      <w:r>
        <w:rPr>
          <w:rFonts w:hint="eastAsia" w:ascii="仿宋_GB2312" w:hAnsi="仿宋_GB2312" w:eastAsia="仿宋_GB2312" w:cs="仿宋_GB2312"/>
          <w:b/>
          <w:bCs/>
          <w:color w:val="auto"/>
          <w:sz w:val="32"/>
          <w:szCs w:val="36"/>
          <w:highlight w:val="none"/>
          <w:lang w:val="en-US" w:eastAsia="zh-CN"/>
        </w:rPr>
        <w:t>项目完工及时性。</w:t>
      </w:r>
      <w:r>
        <w:rPr>
          <w:rFonts w:hint="eastAsia" w:ascii="仿宋_GB2312" w:hAnsi="仿宋_GB2312" w:eastAsia="仿宋_GB2312" w:cs="仿宋_GB2312"/>
          <w:b w:val="0"/>
          <w:bCs w:val="0"/>
          <w:color w:val="auto"/>
          <w:sz w:val="32"/>
          <w:szCs w:val="36"/>
          <w:highlight w:val="none"/>
          <w:lang w:val="en-US" w:eastAsia="zh-CN"/>
        </w:rPr>
        <w:t>经现场调研，威宁学校建设工程按照调整后的可行性研究报告中项目实施进度计划如期完工，并于2021年9月1日正式投入使用。该指标满分5分，实际得分5分。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rPr>
      </w:pPr>
      <w:r>
        <w:rPr>
          <w:rFonts w:hint="eastAsia" w:ascii="仿宋_GB2312" w:hAnsi="仿宋_GB2312" w:eastAsia="仿宋_GB2312" w:cs="仿宋_GB2312"/>
          <w:b/>
          <w:bCs/>
          <w:sz w:val="32"/>
          <w:szCs w:val="36"/>
          <w:highlight w:val="none"/>
          <w:lang w:val="en-US" w:eastAsia="zh-CN"/>
        </w:rPr>
        <w:t>4.产出成本</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黑体" w:hAnsi="黑体" w:eastAsia="黑体"/>
          <w:sz w:val="32"/>
          <w:szCs w:val="36"/>
          <w:highlight w:val="yellow"/>
          <w:lang w:val="en-US"/>
        </w:rPr>
      </w:pPr>
      <w:r>
        <w:rPr>
          <w:rFonts w:hint="eastAsia" w:ascii="仿宋_GB2312" w:hAnsi="仿宋_GB2312" w:eastAsia="仿宋_GB2312" w:cs="仿宋_GB2312"/>
          <w:b/>
          <w:bCs/>
          <w:color w:val="auto"/>
          <w:sz w:val="32"/>
          <w:szCs w:val="36"/>
          <w:highlight w:val="none"/>
          <w:lang w:val="en-US" w:eastAsia="zh-CN"/>
        </w:rPr>
        <w:t>成本控制情况。</w:t>
      </w:r>
      <w:r>
        <w:rPr>
          <w:rFonts w:hint="eastAsia" w:ascii="仿宋_GB2312" w:hAnsi="仿宋_GB2312" w:eastAsia="仿宋_GB2312" w:cs="仿宋_GB2312"/>
          <w:b w:val="0"/>
          <w:bCs w:val="0"/>
          <w:color w:val="auto"/>
          <w:sz w:val="32"/>
          <w:szCs w:val="36"/>
          <w:highlight w:val="none"/>
          <w:lang w:val="en-US" w:eastAsia="zh-CN"/>
        </w:rPr>
        <w:t>威宁学校建设工作尚未完成决算工作，仍按照验收完成阶段进行资金支付工作，故该指标综合实际情况进行评分。通过项目资金数据分析，目前项目实际支出低于项目计划总投资金额。该指标满分5分，实际得分4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黑体" w:hAnsi="黑体" w:eastAsia="仿宋"/>
          <w:b w:val="0"/>
          <w:bCs w:val="0"/>
          <w:sz w:val="32"/>
          <w:szCs w:val="36"/>
          <w:highlight w:val="none"/>
          <w:lang w:val="en-US" w:eastAsia="zh-CN"/>
        </w:rPr>
      </w:pPr>
      <w:bookmarkStart w:id="35" w:name="_Toc12726"/>
      <w:r>
        <w:rPr>
          <w:rFonts w:hint="eastAsia" w:ascii="楷体_GB2312" w:hAnsi="仿宋" w:eastAsia="楷体_GB2312"/>
          <w:b w:val="0"/>
          <w:bCs w:val="0"/>
          <w:sz w:val="32"/>
          <w:szCs w:val="36"/>
          <w:highlight w:val="none"/>
        </w:rPr>
        <w:t>（</w:t>
      </w:r>
      <w:r>
        <w:rPr>
          <w:rFonts w:hint="eastAsia" w:ascii="楷体_GB2312" w:hAnsi="仿宋" w:eastAsia="楷体_GB2312"/>
          <w:b w:val="0"/>
          <w:bCs w:val="0"/>
          <w:sz w:val="32"/>
          <w:szCs w:val="36"/>
          <w:highlight w:val="none"/>
          <w:lang w:val="en-US" w:eastAsia="zh-CN"/>
        </w:rPr>
        <w:t>四</w:t>
      </w:r>
      <w:r>
        <w:rPr>
          <w:rFonts w:hint="eastAsia" w:ascii="楷体_GB2312" w:hAnsi="仿宋" w:eastAsia="楷体_GB2312"/>
          <w:b w:val="0"/>
          <w:bCs w:val="0"/>
          <w:sz w:val="32"/>
          <w:szCs w:val="36"/>
          <w:highlight w:val="none"/>
        </w:rPr>
        <w:t>）</w:t>
      </w:r>
      <w:r>
        <w:rPr>
          <w:rFonts w:hint="eastAsia" w:ascii="楷体_GB2312" w:hAnsi="仿宋" w:eastAsia="楷体_GB2312"/>
          <w:b w:val="0"/>
          <w:bCs w:val="0"/>
          <w:sz w:val="32"/>
          <w:szCs w:val="36"/>
          <w:highlight w:val="none"/>
          <w:lang w:val="en-US" w:eastAsia="zh-CN"/>
        </w:rPr>
        <w:t>项目效益情况</w:t>
      </w:r>
      <w:bookmarkEnd w:id="35"/>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outlineLvl w:val="9"/>
        <w:rPr>
          <w:rFonts w:hint="eastAsia" w:ascii="黑体" w:hAnsi="黑体" w:eastAsia="黑体" w:cs="黑体"/>
          <w:sz w:val="24"/>
          <w:szCs w:val="24"/>
          <w:highlight w:val="none"/>
        </w:rPr>
      </w:pPr>
      <w:r>
        <w:rPr>
          <w:rFonts w:hint="eastAsia" w:ascii="仿宋_GB2312" w:hAnsi="仿宋_GB2312" w:eastAsia="仿宋_GB2312" w:cs="仿宋_GB2312"/>
          <w:b w:val="0"/>
          <w:bCs w:val="0"/>
          <w:color w:val="auto"/>
          <w:sz w:val="32"/>
          <w:szCs w:val="36"/>
          <w:highlight w:val="none"/>
          <w:lang w:val="en-US" w:eastAsia="zh-CN"/>
        </w:rPr>
        <w:t>效益指标分值为20分，得分为19.34分，指标得分率为96.7%。下设5个二级指标，6个三级指标。</w:t>
      </w:r>
      <w:r>
        <w:rPr>
          <w:rFonts w:hint="eastAsia" w:ascii="仿宋_GB2312" w:hAnsi="仿宋_GB2312" w:eastAsia="仿宋_GB2312" w:cs="仿宋_GB2312"/>
          <w:color w:val="auto"/>
          <w:sz w:val="32"/>
          <w:szCs w:val="36"/>
          <w:highlight w:val="none"/>
        </w:rPr>
        <w:t>各级指标设定及评分详见下表：</w:t>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b/>
          <w:bCs/>
          <w:sz w:val="24"/>
          <w:szCs w:val="24"/>
          <w:highlight w:val="none"/>
          <w:lang w:val="en-US" w:eastAsia="zh-CN"/>
        </w:rPr>
      </w:pPr>
      <w:r>
        <w:rPr>
          <w:rFonts w:hint="eastAsia" w:ascii="黑体" w:hAnsi="黑体" w:eastAsia="黑体" w:cs="黑体"/>
          <w:sz w:val="24"/>
          <w:szCs w:val="24"/>
          <w:highlight w:val="none"/>
        </w:rPr>
        <w:t>表</w:t>
      </w:r>
      <w:r>
        <w:rPr>
          <w:rFonts w:hint="eastAsia" w:ascii="黑体" w:hAnsi="黑体" w:eastAsia="黑体" w:cs="黑体"/>
          <w:sz w:val="24"/>
          <w:szCs w:val="24"/>
          <w:highlight w:val="none"/>
          <w:lang w:val="en-US" w:eastAsia="zh-CN"/>
        </w:rPr>
        <w:t>4-4</w:t>
      </w:r>
      <w:r>
        <w:rPr>
          <w:rFonts w:hint="eastAsia" w:ascii="黑体" w:hAnsi="黑体" w:eastAsia="黑体" w:cs="黑体"/>
          <w:sz w:val="24"/>
          <w:szCs w:val="24"/>
          <w:highlight w:val="none"/>
        </w:rPr>
        <w:t xml:space="preserve"> </w:t>
      </w:r>
      <w:r>
        <w:rPr>
          <w:rFonts w:hint="eastAsia" w:ascii="黑体" w:hAnsi="黑体" w:eastAsia="黑体" w:cs="黑体"/>
          <w:sz w:val="24"/>
          <w:szCs w:val="24"/>
          <w:highlight w:val="none"/>
          <w:lang w:val="en-US" w:eastAsia="zh-CN"/>
        </w:rPr>
        <w:t>效益</w:t>
      </w:r>
      <w:r>
        <w:rPr>
          <w:rFonts w:hint="eastAsia" w:ascii="黑体" w:hAnsi="黑体" w:eastAsia="黑体" w:cs="黑体"/>
          <w:sz w:val="24"/>
          <w:szCs w:val="24"/>
          <w:highlight w:val="none"/>
        </w:rPr>
        <w:t>指标得分情况表</w:t>
      </w:r>
      <w:bookmarkEnd w:id="32"/>
      <w:bookmarkEnd w:id="3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1584"/>
        <w:gridCol w:w="3072"/>
        <w:gridCol w:w="132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219" w:type="dxa"/>
            <w:shd w:val="clear" w:color="auto" w:fill="auto"/>
            <w:vAlign w:val="center"/>
          </w:tcPr>
          <w:p>
            <w:pPr>
              <w:jc w:val="center"/>
              <w:outlineLvl w:val="9"/>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一级指标</w:t>
            </w:r>
          </w:p>
        </w:tc>
        <w:tc>
          <w:tcPr>
            <w:tcW w:w="1584" w:type="dxa"/>
            <w:shd w:val="clear" w:color="auto" w:fill="auto"/>
            <w:vAlign w:val="center"/>
          </w:tcPr>
          <w:p>
            <w:pPr>
              <w:jc w:val="center"/>
              <w:outlineLvl w:val="9"/>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二级指标</w:t>
            </w:r>
          </w:p>
        </w:tc>
        <w:tc>
          <w:tcPr>
            <w:tcW w:w="3072" w:type="dxa"/>
            <w:shd w:val="clear" w:color="auto" w:fill="auto"/>
            <w:vAlign w:val="center"/>
          </w:tcPr>
          <w:p>
            <w:pPr>
              <w:jc w:val="center"/>
              <w:outlineLvl w:val="9"/>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三级指标</w:t>
            </w:r>
          </w:p>
        </w:tc>
        <w:tc>
          <w:tcPr>
            <w:tcW w:w="1320" w:type="dxa"/>
            <w:shd w:val="clear" w:color="auto" w:fill="auto"/>
            <w:vAlign w:val="center"/>
          </w:tcPr>
          <w:p>
            <w:pPr>
              <w:jc w:val="center"/>
              <w:outlineLvl w:val="9"/>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指标分值</w:t>
            </w:r>
          </w:p>
        </w:tc>
        <w:tc>
          <w:tcPr>
            <w:tcW w:w="1327" w:type="dxa"/>
            <w:shd w:val="clear" w:color="auto" w:fill="auto"/>
            <w:vAlign w:val="center"/>
          </w:tcPr>
          <w:p>
            <w:pPr>
              <w:jc w:val="center"/>
              <w:outlineLvl w:val="9"/>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9" w:type="dxa"/>
            <w:vMerge w:val="restart"/>
            <w:vAlign w:val="center"/>
          </w:tcPr>
          <w:p>
            <w:pPr>
              <w:jc w:val="center"/>
              <w:outlineLvl w:val="9"/>
              <w:rPr>
                <w:rFonts w:hint="eastAsia" w:asciiTheme="minorEastAsia" w:hAnsiTheme="minorEastAsia" w:eastAsiaTheme="minorEastAsia" w:cstheme="minorEastAsia"/>
                <w:b/>
                <w:bCs/>
                <w:sz w:val="20"/>
                <w:szCs w:val="20"/>
                <w:highlight w:val="none"/>
                <w:lang w:val="en-US" w:eastAsia="zh-CN"/>
              </w:rPr>
            </w:pPr>
            <w:r>
              <w:rPr>
                <w:rFonts w:hint="eastAsia" w:asciiTheme="minorEastAsia" w:hAnsiTheme="minorEastAsia" w:eastAsiaTheme="minorEastAsia" w:cstheme="minorEastAsia"/>
                <w:b/>
                <w:bCs/>
                <w:sz w:val="20"/>
                <w:szCs w:val="20"/>
                <w:highlight w:val="none"/>
                <w:lang w:val="en-US" w:eastAsia="zh-CN"/>
              </w:rPr>
              <w:t>效益</w:t>
            </w:r>
          </w:p>
          <w:p>
            <w:pPr>
              <w:jc w:val="center"/>
              <w:outlineLvl w:val="9"/>
              <w:rPr>
                <w:rFonts w:hint="eastAsia" w:asciiTheme="minorEastAsia" w:hAnsiTheme="minorEastAsia" w:eastAsiaTheme="minorEastAsia" w:cstheme="minorEastAsia"/>
                <w:sz w:val="20"/>
                <w:szCs w:val="20"/>
                <w:highlight w:val="yellow"/>
              </w:rPr>
            </w:pPr>
            <w:r>
              <w:rPr>
                <w:rFonts w:hint="eastAsia" w:asciiTheme="minorEastAsia" w:hAnsiTheme="minorEastAsia" w:eastAsiaTheme="minorEastAsia" w:cstheme="minorEastAsia"/>
                <w:b/>
                <w:bCs/>
                <w:sz w:val="20"/>
                <w:szCs w:val="20"/>
                <w:highlight w:val="none"/>
              </w:rPr>
              <w:t>（</w:t>
            </w:r>
            <w:r>
              <w:rPr>
                <w:rFonts w:hint="eastAsia" w:asciiTheme="minorEastAsia" w:hAnsiTheme="minorEastAsia" w:eastAsiaTheme="minorEastAsia" w:cstheme="minorEastAsia"/>
                <w:b/>
                <w:bCs/>
                <w:sz w:val="20"/>
                <w:szCs w:val="20"/>
                <w:highlight w:val="none"/>
                <w:lang w:val="en-US" w:eastAsia="zh-CN"/>
              </w:rPr>
              <w:t>20</w:t>
            </w:r>
            <w:r>
              <w:rPr>
                <w:rFonts w:hint="eastAsia" w:asciiTheme="minorEastAsia" w:hAnsiTheme="minorEastAsia" w:eastAsiaTheme="minorEastAsia" w:cstheme="minorEastAsia"/>
                <w:b/>
                <w:bCs/>
                <w:sz w:val="20"/>
                <w:szCs w:val="20"/>
                <w:highlight w:val="none"/>
              </w:rPr>
              <w:t>）</w:t>
            </w:r>
          </w:p>
        </w:tc>
        <w:tc>
          <w:tcPr>
            <w:tcW w:w="1584"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经济效益</w:t>
            </w:r>
          </w:p>
        </w:tc>
        <w:tc>
          <w:tcPr>
            <w:tcW w:w="3072"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周边经济发展程度</w:t>
            </w:r>
          </w:p>
        </w:tc>
        <w:tc>
          <w:tcPr>
            <w:tcW w:w="1320" w:type="dxa"/>
            <w:vAlign w:val="center"/>
          </w:tcPr>
          <w:p>
            <w:pPr>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3</w:t>
            </w:r>
          </w:p>
        </w:tc>
        <w:tc>
          <w:tcPr>
            <w:tcW w:w="1327" w:type="dxa"/>
            <w:vAlign w:val="center"/>
          </w:tcPr>
          <w:p>
            <w:pPr>
              <w:jc w:val="center"/>
              <w:outlineLvl w:val="9"/>
              <w:rPr>
                <w:rFonts w:hint="default" w:asciiTheme="minorEastAsia" w:hAnsiTheme="minorEastAsia" w:eastAsiaTheme="minorEastAsia" w:cstheme="minorEastAsia"/>
                <w:sz w:val="20"/>
                <w:szCs w:val="20"/>
                <w:highlight w:val="yellow"/>
                <w:lang w:val="en-US" w:eastAsia="zh-CN"/>
              </w:rPr>
            </w:pPr>
            <w:r>
              <w:rPr>
                <w:rFonts w:hint="eastAsia" w:asciiTheme="minorEastAsia" w:hAnsiTheme="minorEastAsia" w:eastAsiaTheme="minorEastAsia" w:cstheme="minorEastAsia"/>
                <w:sz w:val="20"/>
                <w:szCs w:val="20"/>
                <w:highlight w:val="none"/>
                <w:lang w:val="en-US" w:eastAsia="zh-CN"/>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9" w:type="dxa"/>
            <w:vMerge w:val="continue"/>
            <w:vAlign w:val="center"/>
          </w:tcPr>
          <w:p>
            <w:pPr>
              <w:jc w:val="center"/>
              <w:outlineLvl w:val="9"/>
              <w:rPr>
                <w:rFonts w:hint="eastAsia" w:asciiTheme="minorEastAsia" w:hAnsiTheme="minorEastAsia" w:eastAsiaTheme="minorEastAsia" w:cstheme="minorEastAsia"/>
                <w:sz w:val="20"/>
                <w:szCs w:val="20"/>
                <w:highlight w:val="yellow"/>
              </w:rPr>
            </w:pPr>
          </w:p>
        </w:tc>
        <w:tc>
          <w:tcPr>
            <w:tcW w:w="1584"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社会效益</w:t>
            </w:r>
          </w:p>
        </w:tc>
        <w:tc>
          <w:tcPr>
            <w:tcW w:w="3072"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教学环境改善程度</w:t>
            </w:r>
          </w:p>
        </w:tc>
        <w:tc>
          <w:tcPr>
            <w:tcW w:w="1320" w:type="dxa"/>
            <w:vAlign w:val="center"/>
          </w:tcPr>
          <w:p>
            <w:pPr>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3</w:t>
            </w:r>
          </w:p>
        </w:tc>
        <w:tc>
          <w:tcPr>
            <w:tcW w:w="1327" w:type="dxa"/>
            <w:vAlign w:val="center"/>
          </w:tcPr>
          <w:p>
            <w:pPr>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9" w:type="dxa"/>
            <w:vMerge w:val="continue"/>
            <w:vAlign w:val="center"/>
          </w:tcPr>
          <w:p>
            <w:pPr>
              <w:jc w:val="center"/>
              <w:outlineLvl w:val="9"/>
              <w:rPr>
                <w:rFonts w:hint="eastAsia" w:asciiTheme="minorEastAsia" w:hAnsiTheme="minorEastAsia" w:eastAsiaTheme="minorEastAsia" w:cstheme="minorEastAsia"/>
                <w:sz w:val="20"/>
                <w:szCs w:val="20"/>
                <w:highlight w:val="yellow"/>
              </w:rPr>
            </w:pPr>
          </w:p>
        </w:tc>
        <w:tc>
          <w:tcPr>
            <w:tcW w:w="1584"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生态效益</w:t>
            </w:r>
          </w:p>
        </w:tc>
        <w:tc>
          <w:tcPr>
            <w:tcW w:w="3072"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生态环境影响程度</w:t>
            </w:r>
          </w:p>
        </w:tc>
        <w:tc>
          <w:tcPr>
            <w:tcW w:w="1320" w:type="dxa"/>
            <w:vAlign w:val="center"/>
          </w:tcPr>
          <w:p>
            <w:pPr>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3</w:t>
            </w:r>
          </w:p>
        </w:tc>
        <w:tc>
          <w:tcPr>
            <w:tcW w:w="1327" w:type="dxa"/>
            <w:vAlign w:val="center"/>
          </w:tcPr>
          <w:p>
            <w:pPr>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9" w:type="dxa"/>
            <w:vMerge w:val="continue"/>
            <w:vAlign w:val="center"/>
          </w:tcPr>
          <w:p>
            <w:pPr>
              <w:jc w:val="center"/>
              <w:outlineLvl w:val="9"/>
              <w:rPr>
                <w:rFonts w:hint="eastAsia" w:asciiTheme="minorEastAsia" w:hAnsiTheme="minorEastAsia" w:eastAsiaTheme="minorEastAsia" w:cstheme="minorEastAsia"/>
                <w:sz w:val="20"/>
                <w:szCs w:val="20"/>
                <w:highlight w:val="yellow"/>
              </w:rPr>
            </w:pPr>
          </w:p>
        </w:tc>
        <w:tc>
          <w:tcPr>
            <w:tcW w:w="1584" w:type="dxa"/>
            <w:vMerge w:val="restart"/>
            <w:vAlign w:val="center"/>
          </w:tcPr>
          <w:p>
            <w:pPr>
              <w:widowControl/>
              <w:jc w:val="center"/>
              <w:textAlignment w:val="center"/>
              <w:rPr>
                <w:rFonts w:hint="eastAsia" w:asciiTheme="minorEastAsia" w:hAnsiTheme="minorEastAsia" w:eastAsiaTheme="minorEastAsia" w:cstheme="minorEastAsia"/>
                <w:sz w:val="20"/>
                <w:szCs w:val="20"/>
                <w:highlight w:val="yellow"/>
              </w:rPr>
            </w:pPr>
            <w:r>
              <w:rPr>
                <w:rFonts w:hint="eastAsia" w:ascii="宋体" w:hAnsi="宋体" w:cs="宋体"/>
                <w:color w:val="000000"/>
                <w:kern w:val="0"/>
                <w:sz w:val="20"/>
                <w:szCs w:val="20"/>
                <w:highlight w:val="none"/>
                <w:lang w:val="en-US" w:eastAsia="zh-CN" w:bidi="ar"/>
              </w:rPr>
              <w:t>可持续影响</w:t>
            </w:r>
          </w:p>
        </w:tc>
        <w:tc>
          <w:tcPr>
            <w:tcW w:w="3072"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可使用年限</w:t>
            </w:r>
          </w:p>
        </w:tc>
        <w:tc>
          <w:tcPr>
            <w:tcW w:w="1320" w:type="dxa"/>
            <w:vAlign w:val="center"/>
          </w:tcPr>
          <w:p>
            <w:pPr>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3</w:t>
            </w:r>
          </w:p>
        </w:tc>
        <w:tc>
          <w:tcPr>
            <w:tcW w:w="1327" w:type="dxa"/>
            <w:vAlign w:val="center"/>
          </w:tcPr>
          <w:p>
            <w:pPr>
              <w:jc w:val="center"/>
              <w:outlineLvl w:val="9"/>
              <w:rPr>
                <w:rFonts w:hint="default"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9" w:type="dxa"/>
            <w:vMerge w:val="continue"/>
            <w:vAlign w:val="center"/>
          </w:tcPr>
          <w:p>
            <w:pPr>
              <w:jc w:val="center"/>
              <w:outlineLvl w:val="9"/>
              <w:rPr>
                <w:rFonts w:hint="eastAsia" w:asciiTheme="minorEastAsia" w:hAnsiTheme="minorEastAsia" w:eastAsiaTheme="minorEastAsia" w:cstheme="minorEastAsia"/>
                <w:sz w:val="20"/>
                <w:szCs w:val="20"/>
                <w:highlight w:val="yellow"/>
              </w:rPr>
            </w:pPr>
          </w:p>
        </w:tc>
        <w:tc>
          <w:tcPr>
            <w:tcW w:w="1584" w:type="dxa"/>
            <w:vMerge w:val="continue"/>
            <w:vAlign w:val="center"/>
          </w:tcPr>
          <w:p>
            <w:pPr>
              <w:jc w:val="center"/>
              <w:outlineLvl w:val="9"/>
              <w:rPr>
                <w:rFonts w:hint="eastAsia" w:asciiTheme="minorEastAsia" w:hAnsiTheme="minorEastAsia" w:eastAsiaTheme="minorEastAsia" w:cstheme="minorEastAsia"/>
                <w:sz w:val="20"/>
                <w:szCs w:val="20"/>
                <w:highlight w:val="yellow"/>
              </w:rPr>
            </w:pPr>
          </w:p>
        </w:tc>
        <w:tc>
          <w:tcPr>
            <w:tcW w:w="3072"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偿债风险能力</w:t>
            </w:r>
          </w:p>
        </w:tc>
        <w:tc>
          <w:tcPr>
            <w:tcW w:w="1320" w:type="dxa"/>
            <w:vAlign w:val="center"/>
          </w:tcPr>
          <w:p>
            <w:pPr>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4</w:t>
            </w:r>
          </w:p>
        </w:tc>
        <w:tc>
          <w:tcPr>
            <w:tcW w:w="1327" w:type="dxa"/>
            <w:vAlign w:val="center"/>
          </w:tcPr>
          <w:p>
            <w:pPr>
              <w:jc w:val="center"/>
              <w:outlineLvl w:val="9"/>
              <w:rPr>
                <w:rFonts w:hint="default"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9" w:type="dxa"/>
            <w:vMerge w:val="continue"/>
            <w:vAlign w:val="center"/>
          </w:tcPr>
          <w:p>
            <w:pPr>
              <w:jc w:val="both"/>
              <w:outlineLvl w:val="9"/>
              <w:rPr>
                <w:rFonts w:hint="eastAsia" w:asciiTheme="minorEastAsia" w:hAnsiTheme="minorEastAsia" w:eastAsiaTheme="minorEastAsia" w:cstheme="minorEastAsia"/>
                <w:sz w:val="20"/>
                <w:szCs w:val="20"/>
                <w:highlight w:val="yellow"/>
              </w:rPr>
            </w:pPr>
          </w:p>
        </w:tc>
        <w:tc>
          <w:tcPr>
            <w:tcW w:w="1584" w:type="dxa"/>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满意度调查</w:t>
            </w:r>
          </w:p>
        </w:tc>
        <w:tc>
          <w:tcPr>
            <w:tcW w:w="3072"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教师满意度</w:t>
            </w:r>
          </w:p>
        </w:tc>
        <w:tc>
          <w:tcPr>
            <w:tcW w:w="1320" w:type="dxa"/>
            <w:vAlign w:val="center"/>
          </w:tcPr>
          <w:p>
            <w:pPr>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4</w:t>
            </w:r>
          </w:p>
        </w:tc>
        <w:tc>
          <w:tcPr>
            <w:tcW w:w="1327" w:type="dxa"/>
            <w:vAlign w:val="center"/>
          </w:tcPr>
          <w:p>
            <w:pPr>
              <w:jc w:val="center"/>
              <w:outlineLvl w:val="9"/>
              <w:rPr>
                <w:rFonts w:hint="default"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75" w:type="dxa"/>
            <w:gridSpan w:val="3"/>
            <w:vAlign w:val="center"/>
          </w:tcPr>
          <w:p>
            <w:pPr>
              <w:jc w:val="center"/>
              <w:outlineLvl w:val="9"/>
              <w:rPr>
                <w:rFonts w:hint="eastAsia" w:asciiTheme="minorEastAsia" w:hAnsiTheme="minorEastAsia" w:eastAsiaTheme="minorEastAsia" w:cstheme="minorEastAsia"/>
                <w:b/>
                <w:bCs/>
                <w:sz w:val="20"/>
                <w:szCs w:val="20"/>
                <w:highlight w:val="yellow"/>
              </w:rPr>
            </w:pPr>
            <w:r>
              <w:rPr>
                <w:rFonts w:hint="eastAsia" w:asciiTheme="minorEastAsia" w:hAnsiTheme="minorEastAsia" w:eastAsiaTheme="minorEastAsia" w:cstheme="minorEastAsia"/>
                <w:b/>
                <w:bCs/>
                <w:sz w:val="20"/>
                <w:szCs w:val="20"/>
                <w:highlight w:val="none"/>
              </w:rPr>
              <w:t>合 计</w:t>
            </w:r>
          </w:p>
        </w:tc>
        <w:tc>
          <w:tcPr>
            <w:tcW w:w="1320" w:type="dxa"/>
            <w:vAlign w:val="center"/>
          </w:tcPr>
          <w:p>
            <w:pPr>
              <w:jc w:val="center"/>
              <w:outlineLvl w:val="9"/>
              <w:rPr>
                <w:rFonts w:hint="default" w:asciiTheme="minorEastAsia" w:hAnsiTheme="minorEastAsia" w:eastAsiaTheme="minorEastAsia" w:cstheme="minorEastAsia"/>
                <w:b/>
                <w:bCs/>
                <w:sz w:val="20"/>
                <w:szCs w:val="20"/>
                <w:highlight w:val="none"/>
                <w:lang w:val="en-US" w:eastAsia="zh-CN"/>
              </w:rPr>
            </w:pPr>
            <w:r>
              <w:rPr>
                <w:rFonts w:hint="eastAsia" w:asciiTheme="minorEastAsia" w:hAnsiTheme="minorEastAsia" w:eastAsiaTheme="minorEastAsia" w:cstheme="minorEastAsia"/>
                <w:b/>
                <w:bCs/>
                <w:sz w:val="20"/>
                <w:szCs w:val="20"/>
                <w:highlight w:val="none"/>
                <w:lang w:val="en-US" w:eastAsia="zh-CN"/>
              </w:rPr>
              <w:t>20</w:t>
            </w:r>
          </w:p>
        </w:tc>
        <w:tc>
          <w:tcPr>
            <w:tcW w:w="1327" w:type="dxa"/>
            <w:vAlign w:val="center"/>
          </w:tcPr>
          <w:p>
            <w:pPr>
              <w:jc w:val="center"/>
              <w:outlineLvl w:val="9"/>
              <w:rPr>
                <w:rFonts w:hint="default" w:asciiTheme="minorEastAsia" w:hAnsiTheme="minorEastAsia" w:eastAsiaTheme="minorEastAsia" w:cstheme="minorEastAsia"/>
                <w:b/>
                <w:bCs/>
                <w:color w:val="auto"/>
                <w:sz w:val="20"/>
                <w:szCs w:val="20"/>
                <w:highlight w:val="none"/>
                <w:lang w:val="en-US" w:eastAsia="zh-CN"/>
              </w:rPr>
            </w:pPr>
            <w:r>
              <w:rPr>
                <w:rFonts w:hint="eastAsia" w:asciiTheme="minorEastAsia" w:hAnsiTheme="minorEastAsia" w:eastAsiaTheme="minorEastAsia" w:cstheme="minorEastAsia"/>
                <w:b/>
                <w:bCs/>
                <w:color w:val="auto"/>
                <w:sz w:val="20"/>
                <w:szCs w:val="20"/>
                <w:highlight w:val="none"/>
                <w:lang w:val="en-US" w:eastAsia="zh-CN"/>
              </w:rPr>
              <w:t>19.34</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rPr>
      </w:pPr>
      <w:r>
        <w:rPr>
          <w:rFonts w:hint="eastAsia" w:ascii="仿宋_GB2312" w:hAnsi="仿宋_GB2312" w:eastAsia="仿宋_GB2312" w:cs="仿宋_GB2312"/>
          <w:b/>
          <w:bCs/>
          <w:sz w:val="32"/>
          <w:szCs w:val="36"/>
          <w:highlight w:val="none"/>
          <w:lang w:val="en-US" w:eastAsia="zh-CN"/>
        </w:rPr>
        <w:t>1.经济效益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周边经济发展程度。</w:t>
      </w:r>
      <w:r>
        <w:rPr>
          <w:rFonts w:hint="eastAsia" w:ascii="仿宋_GB2312" w:hAnsi="仿宋_GB2312" w:eastAsia="仿宋_GB2312" w:cs="仿宋_GB2312"/>
          <w:b w:val="0"/>
          <w:bCs w:val="0"/>
          <w:color w:val="auto"/>
          <w:sz w:val="32"/>
          <w:szCs w:val="36"/>
          <w:highlight w:val="none"/>
          <w:lang w:val="en-US" w:eastAsia="zh-CN"/>
        </w:rPr>
        <w:t>绩效评价组对威宁学校老师开展满意度调查，共有42名师生参与满意度调查。被调查者共39人认为校园投入使用后对周边经济发展有所提升或有明显提升，满意率92.86%。该指标满分3分，实际得分2.79分。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bCs/>
          <w:color w:val="auto"/>
          <w:sz w:val="32"/>
          <w:szCs w:val="36"/>
          <w:highlight w:val="yellow"/>
          <w:lang w:val="en-US" w:eastAsia="zh-CN"/>
        </w:rPr>
      </w:pPr>
      <w:r>
        <w:rPr>
          <w:rFonts w:hint="eastAsia" w:ascii="仿宋_GB2312" w:hAnsi="仿宋_GB2312" w:eastAsia="仿宋_GB2312" w:cs="仿宋_GB2312"/>
          <w:b/>
          <w:bCs/>
          <w:sz w:val="32"/>
          <w:szCs w:val="36"/>
          <w:highlight w:val="none"/>
          <w:lang w:val="en-US" w:eastAsia="zh-CN"/>
        </w:rPr>
        <w:t>2.社会效益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bCs/>
          <w:color w:val="auto"/>
          <w:sz w:val="32"/>
          <w:szCs w:val="36"/>
          <w:highlight w:val="none"/>
          <w:lang w:val="en-US" w:eastAsia="zh-CN"/>
        </w:rPr>
        <w:t>教学环境改善程度。</w:t>
      </w:r>
      <w:r>
        <w:rPr>
          <w:rFonts w:hint="eastAsia" w:ascii="仿宋_GB2312" w:hAnsi="仿宋_GB2312" w:eastAsia="仿宋_GB2312" w:cs="仿宋_GB2312"/>
          <w:b w:val="0"/>
          <w:bCs w:val="0"/>
          <w:color w:val="auto"/>
          <w:sz w:val="32"/>
          <w:szCs w:val="36"/>
          <w:highlight w:val="none"/>
          <w:lang w:val="en-US" w:eastAsia="zh-CN"/>
        </w:rPr>
        <w:t>所有被调查者对校园投入使用后教学环境表示满意或非常满意，满意率100%。该指标满分3分，实际得分3分。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auto"/>
          <w:sz w:val="32"/>
          <w:szCs w:val="36"/>
          <w:highlight w:val="yellow"/>
          <w:lang w:val="en-US" w:eastAsia="zh-CN"/>
        </w:rPr>
      </w:pPr>
      <w:r>
        <w:rPr>
          <w:rFonts w:hint="eastAsia" w:ascii="仿宋_GB2312" w:hAnsi="仿宋_GB2312" w:eastAsia="仿宋_GB2312" w:cs="仿宋_GB2312"/>
          <w:b/>
          <w:bCs/>
          <w:sz w:val="32"/>
          <w:szCs w:val="36"/>
          <w:highlight w:val="none"/>
          <w:lang w:val="en-US" w:eastAsia="zh-CN"/>
        </w:rPr>
        <w:t>3.生态效益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auto"/>
          <w:sz w:val="32"/>
          <w:szCs w:val="36"/>
          <w:highlight w:val="yellow"/>
          <w:lang w:val="en-US" w:eastAsia="zh-CN"/>
        </w:rPr>
      </w:pPr>
      <w:r>
        <w:rPr>
          <w:rFonts w:hint="eastAsia" w:ascii="仿宋_GB2312" w:hAnsi="仿宋_GB2312" w:eastAsia="仿宋_GB2312" w:cs="仿宋_GB2312"/>
          <w:b/>
          <w:bCs/>
          <w:color w:val="auto"/>
          <w:sz w:val="32"/>
          <w:szCs w:val="36"/>
          <w:highlight w:val="none"/>
          <w:lang w:val="en-US" w:eastAsia="zh-CN"/>
        </w:rPr>
        <w:t>生态环境影响程度。</w:t>
      </w:r>
      <w:r>
        <w:rPr>
          <w:rFonts w:hint="eastAsia" w:ascii="仿宋_GB2312" w:hAnsi="仿宋_GB2312" w:eastAsia="仿宋_GB2312" w:cs="仿宋_GB2312"/>
          <w:b w:val="0"/>
          <w:bCs w:val="0"/>
          <w:color w:val="auto"/>
          <w:sz w:val="32"/>
          <w:szCs w:val="36"/>
          <w:highlight w:val="none"/>
          <w:lang w:val="en-US" w:eastAsia="zh-CN"/>
        </w:rPr>
        <w:t>被调查者共39人对校园周边及校内生态环境表示满意或非常满意，满意率92.86%。该指标满分3分，实际得分2.79分。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none"/>
          <w:lang w:val="en-US"/>
        </w:rPr>
      </w:pPr>
      <w:r>
        <w:rPr>
          <w:rFonts w:hint="eastAsia" w:ascii="仿宋_GB2312" w:hAnsi="仿宋_GB2312" w:eastAsia="仿宋_GB2312" w:cs="仿宋_GB2312"/>
          <w:b/>
          <w:bCs/>
          <w:sz w:val="32"/>
          <w:szCs w:val="36"/>
          <w:highlight w:val="none"/>
          <w:lang w:val="en-US" w:eastAsia="zh-CN"/>
        </w:rPr>
        <w:t>4.可持续影响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outlineLvl w:val="9"/>
        <w:rPr>
          <w:rFonts w:hint="eastAsia" w:ascii="仿宋_GB2312" w:hAnsi="仿宋_GB2312" w:eastAsia="仿宋_GB2312" w:cs="仿宋_GB2312"/>
          <w:b/>
          <w:bCs/>
          <w:color w:val="auto"/>
          <w:sz w:val="32"/>
          <w:szCs w:val="36"/>
          <w:highlight w:val="none"/>
          <w:lang w:val="en-US" w:eastAsia="zh-CN"/>
        </w:rPr>
      </w:pPr>
      <w:r>
        <w:rPr>
          <w:rFonts w:hint="eastAsia" w:ascii="仿宋_GB2312" w:hAnsi="仿宋_GB2312" w:eastAsia="仿宋_GB2312" w:cs="仿宋_GB2312"/>
          <w:b/>
          <w:bCs/>
          <w:color w:val="auto"/>
          <w:kern w:val="2"/>
          <w:sz w:val="32"/>
          <w:szCs w:val="36"/>
          <w:highlight w:val="none"/>
          <w:lang w:val="en-US" w:eastAsia="zh-CN" w:bidi="ar-SA"/>
        </w:rPr>
        <w:t>可使用年限。</w:t>
      </w:r>
      <w:r>
        <w:rPr>
          <w:rFonts w:hint="eastAsia" w:ascii="仿宋_GB2312" w:hAnsi="仿宋_GB2312" w:eastAsia="仿宋_GB2312" w:cs="仿宋_GB2312"/>
          <w:b w:val="0"/>
          <w:bCs w:val="0"/>
          <w:color w:val="auto"/>
          <w:kern w:val="2"/>
          <w:sz w:val="32"/>
          <w:szCs w:val="36"/>
          <w:highlight w:val="none"/>
          <w:lang w:val="en-US" w:eastAsia="zh-CN" w:bidi="ar-SA"/>
        </w:rPr>
        <w:t>经现场调研，威宁学校建设工程为新建类项目，《本溪市明山区新型城镇化建设项目（第一期）威宁学校调整可行性研究报告》明确项目中单体建筑可使用年限均为五十年。</w:t>
      </w:r>
      <w:r>
        <w:rPr>
          <w:rFonts w:hint="eastAsia" w:ascii="仿宋_GB2312" w:hAnsi="仿宋_GB2312" w:eastAsia="仿宋_GB2312" w:cs="仿宋_GB2312"/>
          <w:b w:val="0"/>
          <w:bCs w:val="0"/>
          <w:color w:val="auto"/>
          <w:sz w:val="32"/>
          <w:szCs w:val="36"/>
          <w:highlight w:val="none"/>
          <w:lang w:val="en-US" w:eastAsia="zh-CN"/>
        </w:rPr>
        <w:t>建设工程施工合同附带工程质量保修书已明确，地基基础工程和主体结构工程为设计文件规定工程合理使用年限。该指标满分3分，实际得分3分。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outlineLvl w:val="9"/>
        <w:rPr>
          <w:rFonts w:hint="default" w:ascii="仿宋_GB2312" w:hAnsi="仿宋_GB2312" w:eastAsia="仿宋_GB2312" w:cs="仿宋_GB2312"/>
          <w:b w:val="0"/>
          <w:bCs w:val="0"/>
          <w:color w:val="FF0000"/>
          <w:kern w:val="2"/>
          <w:sz w:val="32"/>
          <w:szCs w:val="36"/>
          <w:highlight w:val="none"/>
          <w:lang w:val="en-US" w:eastAsia="zh-CN" w:bidi="ar-SA"/>
        </w:rPr>
      </w:pPr>
      <w:r>
        <w:rPr>
          <w:rFonts w:hint="eastAsia" w:ascii="仿宋_GB2312" w:hAnsi="仿宋_GB2312" w:eastAsia="仿宋_GB2312" w:cs="仿宋_GB2312"/>
          <w:b/>
          <w:bCs/>
          <w:color w:val="auto"/>
          <w:sz w:val="32"/>
          <w:szCs w:val="36"/>
          <w:highlight w:val="none"/>
          <w:lang w:val="en-US" w:eastAsia="zh-CN"/>
        </w:rPr>
        <w:t>偿债风险能力。</w:t>
      </w:r>
      <w:r>
        <w:rPr>
          <w:rFonts w:hint="eastAsia" w:ascii="仿宋_GB2312" w:hAnsi="仿宋_GB2312" w:eastAsia="仿宋_GB2312" w:cs="仿宋_GB2312"/>
          <w:b w:val="0"/>
          <w:bCs w:val="0"/>
          <w:color w:val="auto"/>
          <w:sz w:val="32"/>
          <w:szCs w:val="36"/>
          <w:highlight w:val="none"/>
          <w:lang w:val="en-US" w:eastAsia="zh-CN"/>
        </w:rPr>
        <w:t>经现场调研，明山区财政局已将偿还债务资金列入每年财政预算编制内，按照2021年辽宁省政府一般债券（一期）的相关要求（每半年一次还息），每年及时缴纳利息。该指标满分4分，实际得分4分。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6"/>
          <w:highlight w:val="yellow"/>
          <w:lang w:val="en-US"/>
        </w:rPr>
      </w:pPr>
      <w:r>
        <w:rPr>
          <w:rFonts w:hint="eastAsia" w:ascii="仿宋_GB2312" w:hAnsi="仿宋_GB2312" w:eastAsia="仿宋_GB2312" w:cs="仿宋_GB2312"/>
          <w:b/>
          <w:bCs/>
          <w:sz w:val="32"/>
          <w:szCs w:val="36"/>
          <w:highlight w:val="none"/>
          <w:lang w:val="en-US" w:eastAsia="zh-CN"/>
        </w:rPr>
        <w:t>5.满意度调查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outlineLvl w:val="9"/>
        <w:rPr>
          <w:rFonts w:hint="eastAsia"/>
          <w:highlight w:val="none"/>
          <w:lang w:val="en-US" w:eastAsia="zh-CN"/>
        </w:rPr>
      </w:pPr>
      <w:r>
        <w:rPr>
          <w:rFonts w:hint="eastAsia" w:ascii="仿宋_GB2312" w:hAnsi="仿宋_GB2312" w:eastAsia="仿宋_GB2312" w:cs="仿宋_GB2312"/>
          <w:b w:val="0"/>
          <w:bCs w:val="0"/>
          <w:color w:val="auto"/>
          <w:sz w:val="32"/>
          <w:szCs w:val="36"/>
          <w:highlight w:val="none"/>
          <w:lang w:val="en-US" w:eastAsia="zh-CN"/>
        </w:rPr>
        <w:t>评价工作组对威宁学校建设工程受益对象开展满意度调查，共有42名威宁学校老师参与满意度调查。调查结果显示，威宁学校建成并投入使用后校园环境、教学环境以及周边经济发展均得到有效改善，但仍有学校周边配套问题需要解决，例如周边商家商铺过少、周边马路需要升级改造以及学校外围绿化工作有待提高。该指标满分4分，实际得分3.76分。威宁学校教师满意度调查结果详见下表：</w:t>
      </w:r>
    </w:p>
    <w:p>
      <w:pPr>
        <w:pStyle w:val="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highlight w:val="none"/>
          <w:lang w:val="en-US" w:eastAsia="zh-CN"/>
        </w:rPr>
      </w:pPr>
      <w:r>
        <w:rPr>
          <w:rFonts w:hint="eastAsia" w:ascii="黑体" w:hAnsi="黑体" w:eastAsia="黑体" w:cs="黑体"/>
          <w:sz w:val="24"/>
          <w:szCs w:val="24"/>
          <w:highlight w:val="none"/>
        </w:rPr>
        <w:t>表</w:t>
      </w:r>
      <w:r>
        <w:rPr>
          <w:rFonts w:hint="eastAsia" w:ascii="黑体" w:hAnsi="黑体" w:eastAsia="黑体" w:cs="黑体"/>
          <w:sz w:val="24"/>
          <w:szCs w:val="24"/>
          <w:highlight w:val="none"/>
          <w:lang w:val="en-US" w:eastAsia="zh-CN"/>
        </w:rPr>
        <w:t>4-5</w:t>
      </w:r>
      <w:r>
        <w:rPr>
          <w:rFonts w:hint="eastAsia" w:ascii="黑体" w:hAnsi="黑体" w:eastAsia="黑体" w:cs="黑体"/>
          <w:sz w:val="24"/>
          <w:szCs w:val="24"/>
          <w:highlight w:val="none"/>
        </w:rPr>
        <w:t xml:space="preserve"> </w:t>
      </w:r>
      <w:r>
        <w:rPr>
          <w:rFonts w:hint="eastAsia" w:ascii="黑体" w:hAnsi="黑体" w:eastAsia="黑体" w:cs="黑体"/>
          <w:sz w:val="24"/>
          <w:szCs w:val="24"/>
          <w:highlight w:val="none"/>
          <w:lang w:val="en-US" w:eastAsia="zh-CN"/>
        </w:rPr>
        <w:t>教师</w:t>
      </w:r>
      <w:r>
        <w:rPr>
          <w:rFonts w:hint="eastAsia" w:ascii="黑体" w:hAnsi="黑体" w:eastAsia="黑体" w:cs="黑体"/>
          <w:sz w:val="24"/>
          <w:szCs w:val="24"/>
          <w:highlight w:val="none"/>
        </w:rPr>
        <w:t>满意度调查结果统计表</w:t>
      </w:r>
    </w:p>
    <w:tbl>
      <w:tblPr>
        <w:tblStyle w:val="12"/>
        <w:tblpPr w:leftFromText="181" w:rightFromText="181" w:vertAnchor="text" w:horzAnchor="page" w:tblpXSpec="center" w:tblpY="1"/>
        <w:tblOverlap w:val="never"/>
        <w:tblW w:w="8424" w:type="dxa"/>
        <w:jc w:val="center"/>
        <w:tblLayout w:type="fixed"/>
        <w:tblCellMar>
          <w:top w:w="0" w:type="dxa"/>
          <w:left w:w="0" w:type="dxa"/>
          <w:bottom w:w="0" w:type="dxa"/>
          <w:right w:w="0" w:type="dxa"/>
        </w:tblCellMar>
      </w:tblPr>
      <w:tblGrid>
        <w:gridCol w:w="1932"/>
        <w:gridCol w:w="1140"/>
        <w:gridCol w:w="1068"/>
        <w:gridCol w:w="876"/>
        <w:gridCol w:w="1020"/>
        <w:gridCol w:w="1080"/>
        <w:gridCol w:w="1308"/>
      </w:tblGrid>
      <w:tr>
        <w:tblPrEx>
          <w:tblCellMar>
            <w:top w:w="0" w:type="dxa"/>
            <w:left w:w="0" w:type="dxa"/>
            <w:bottom w:w="0" w:type="dxa"/>
            <w:right w:w="0" w:type="dxa"/>
          </w:tblCellMar>
        </w:tblPrEx>
        <w:trPr>
          <w:trHeight w:val="358" w:hRule="atLeast"/>
          <w:tblHeader/>
          <w:jc w:val="center"/>
        </w:trPr>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kern w:val="0"/>
                <w:sz w:val="20"/>
                <w:szCs w:val="20"/>
                <w:highlight w:val="none"/>
              </w:rPr>
              <w:t>具体指标</w:t>
            </w:r>
          </w:p>
        </w:tc>
        <w:tc>
          <w:tcPr>
            <w:tcW w:w="518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0"/>
                <w:szCs w:val="20"/>
                <w:highlight w:val="none"/>
                <w:lang w:val="en-US" w:eastAsia="zh-CN"/>
              </w:rPr>
            </w:pPr>
            <w:r>
              <w:rPr>
                <w:rFonts w:hint="eastAsia" w:asciiTheme="minorEastAsia" w:hAnsiTheme="minorEastAsia" w:eastAsiaTheme="minorEastAsia" w:cstheme="minorEastAsia"/>
                <w:b/>
                <w:color w:val="000000"/>
                <w:sz w:val="20"/>
                <w:szCs w:val="20"/>
                <w:highlight w:val="none"/>
                <w:lang w:val="en-US" w:eastAsia="zh-CN"/>
              </w:rPr>
              <w:t>评价维度</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kern w:val="0"/>
                <w:sz w:val="20"/>
                <w:szCs w:val="20"/>
                <w:highlight w:val="none"/>
              </w:rPr>
              <w:t>满意度得分</w:t>
            </w:r>
            <w:r>
              <w:rPr>
                <w:rFonts w:hint="eastAsia" w:asciiTheme="minorEastAsia" w:hAnsiTheme="minorEastAsia" w:eastAsiaTheme="minorEastAsia" w:cstheme="minorEastAsia"/>
                <w:b/>
                <w:color w:val="000000"/>
                <w:kern w:val="0"/>
                <w:sz w:val="20"/>
                <w:szCs w:val="20"/>
                <w:highlight w:val="none"/>
              </w:rPr>
              <w:br w:type="textWrapping"/>
            </w:r>
            <w:r>
              <w:rPr>
                <w:rFonts w:hint="eastAsia" w:asciiTheme="minorEastAsia" w:hAnsiTheme="minorEastAsia" w:eastAsiaTheme="minorEastAsia" w:cstheme="minorEastAsia"/>
                <w:b/>
                <w:color w:val="000000"/>
                <w:kern w:val="0"/>
                <w:sz w:val="20"/>
                <w:szCs w:val="20"/>
                <w:highlight w:val="none"/>
              </w:rPr>
              <w:t>（分）</w:t>
            </w:r>
          </w:p>
        </w:tc>
      </w:tr>
      <w:tr>
        <w:tblPrEx>
          <w:tblCellMar>
            <w:top w:w="0" w:type="dxa"/>
            <w:left w:w="0" w:type="dxa"/>
            <w:bottom w:w="0" w:type="dxa"/>
            <w:right w:w="0" w:type="dxa"/>
          </w:tblCellMar>
        </w:tblPrEx>
        <w:trPr>
          <w:trHeight w:val="382" w:hRule="atLeast"/>
          <w:tblHeader/>
          <w:jc w:val="center"/>
        </w:trPr>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color w:val="000000"/>
                <w:sz w:val="20"/>
                <w:szCs w:val="20"/>
                <w:highlight w:val="yellow"/>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kern w:val="0"/>
                <w:sz w:val="20"/>
                <w:szCs w:val="20"/>
                <w:highlight w:val="none"/>
              </w:rPr>
              <w:t>非常满意</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kern w:val="0"/>
                <w:sz w:val="20"/>
                <w:szCs w:val="20"/>
                <w:highlight w:val="none"/>
              </w:rPr>
              <w:t>比较满意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kern w:val="0"/>
                <w:sz w:val="20"/>
                <w:szCs w:val="20"/>
                <w:highlight w:val="none"/>
              </w:rPr>
              <w:t>一般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kern w:val="0"/>
                <w:sz w:val="20"/>
                <w:szCs w:val="20"/>
                <w:highlight w:val="none"/>
              </w:rPr>
              <w:t>不</w:t>
            </w:r>
            <w:r>
              <w:rPr>
                <w:rFonts w:hint="eastAsia" w:asciiTheme="minorEastAsia" w:hAnsiTheme="minorEastAsia" w:eastAsiaTheme="minorEastAsia" w:cstheme="minorEastAsia"/>
                <w:b/>
                <w:color w:val="000000"/>
                <w:kern w:val="0"/>
                <w:sz w:val="20"/>
                <w:szCs w:val="20"/>
                <w:highlight w:val="none"/>
                <w:lang w:val="en-US" w:eastAsia="zh-CN"/>
              </w:rPr>
              <w:t>太</w:t>
            </w:r>
            <w:r>
              <w:rPr>
                <w:rFonts w:hint="eastAsia" w:asciiTheme="minorEastAsia" w:hAnsiTheme="minorEastAsia" w:eastAsiaTheme="minorEastAsia" w:cstheme="minorEastAsia"/>
                <w:b/>
                <w:color w:val="000000"/>
                <w:kern w:val="0"/>
                <w:sz w:val="20"/>
                <w:szCs w:val="20"/>
                <w:highlight w:val="none"/>
              </w:rPr>
              <w:t>满意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kern w:val="0"/>
                <w:sz w:val="20"/>
                <w:szCs w:val="20"/>
                <w:highlight w:val="none"/>
                <w:lang w:val="en-US" w:eastAsia="zh-CN"/>
              </w:rPr>
              <w:t>非常</w:t>
            </w:r>
            <w:r>
              <w:rPr>
                <w:rFonts w:hint="eastAsia" w:asciiTheme="minorEastAsia" w:hAnsiTheme="minorEastAsia" w:eastAsiaTheme="minorEastAsia" w:cstheme="minorEastAsia"/>
                <w:b/>
                <w:color w:val="000000"/>
                <w:kern w:val="0"/>
                <w:sz w:val="20"/>
                <w:szCs w:val="20"/>
                <w:highlight w:val="none"/>
              </w:rPr>
              <w:t>不满意</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sz w:val="20"/>
                <w:szCs w:val="20"/>
                <w:highlight w:val="yellow"/>
              </w:rPr>
            </w:pPr>
          </w:p>
        </w:tc>
      </w:tr>
      <w:tr>
        <w:tblPrEx>
          <w:tblCellMar>
            <w:top w:w="0" w:type="dxa"/>
            <w:left w:w="0" w:type="dxa"/>
            <w:bottom w:w="0" w:type="dxa"/>
            <w:right w:w="0" w:type="dxa"/>
          </w:tblCellMar>
        </w:tblPrEx>
        <w:trPr>
          <w:trHeight w:val="558"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val="0"/>
                <w:bCs w:val="0"/>
                <w:color w:val="000000"/>
                <w:sz w:val="20"/>
                <w:szCs w:val="20"/>
                <w:highlight w:val="yellow"/>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学校建设整体情况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32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yellow"/>
                <w:lang w:val="en-US" w:eastAsia="zh-CN"/>
              </w:rPr>
            </w:pPr>
            <w:r>
              <w:rPr>
                <w:rFonts w:hint="eastAsia" w:asciiTheme="minorEastAsia" w:hAnsiTheme="minorEastAsia" w:eastAsiaTheme="minorEastAsia" w:cstheme="minorEastAsia"/>
                <w:color w:val="000000"/>
                <w:sz w:val="20"/>
                <w:szCs w:val="20"/>
                <w:highlight w:val="none"/>
                <w:lang w:val="en-US" w:eastAsia="zh-CN"/>
              </w:rPr>
              <w:t>94.29</w:t>
            </w:r>
          </w:p>
        </w:tc>
      </w:tr>
      <w:tr>
        <w:tblPrEx>
          <w:tblCellMar>
            <w:top w:w="0" w:type="dxa"/>
            <w:left w:w="0" w:type="dxa"/>
            <w:bottom w:w="0" w:type="dxa"/>
            <w:right w:w="0" w:type="dxa"/>
          </w:tblCellMar>
        </w:tblPrEx>
        <w:trPr>
          <w:trHeight w:val="465"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val="0"/>
                <w:bCs w:val="0"/>
                <w:color w:val="000000"/>
                <w:sz w:val="20"/>
                <w:szCs w:val="20"/>
                <w:highlight w:val="yellow"/>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提升周边经济发展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30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92.86</w:t>
            </w:r>
          </w:p>
        </w:tc>
      </w:tr>
      <w:tr>
        <w:tblPrEx>
          <w:tblCellMar>
            <w:top w:w="0" w:type="dxa"/>
            <w:left w:w="0" w:type="dxa"/>
            <w:bottom w:w="0" w:type="dxa"/>
            <w:right w:w="0" w:type="dxa"/>
          </w:tblCellMar>
        </w:tblPrEx>
        <w:trPr>
          <w:trHeight w:val="465"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val="0"/>
                <w:bCs w:val="0"/>
                <w:color w:val="000000"/>
                <w:sz w:val="20"/>
                <w:szCs w:val="20"/>
                <w:highlight w:val="yellow"/>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教学环境改善</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33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95.71</w:t>
            </w:r>
          </w:p>
        </w:tc>
      </w:tr>
      <w:tr>
        <w:tblPrEx>
          <w:tblCellMar>
            <w:top w:w="0" w:type="dxa"/>
            <w:left w:w="0" w:type="dxa"/>
            <w:bottom w:w="0" w:type="dxa"/>
            <w:right w:w="0" w:type="dxa"/>
          </w:tblCellMar>
        </w:tblPrEx>
        <w:trPr>
          <w:trHeight w:val="496"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val="0"/>
                <w:bCs w:val="0"/>
                <w:color w:val="000000"/>
                <w:sz w:val="20"/>
                <w:szCs w:val="20"/>
                <w:highlight w:val="yellow"/>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学生受益程度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33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95.71</w:t>
            </w:r>
          </w:p>
        </w:tc>
      </w:tr>
      <w:tr>
        <w:tblPrEx>
          <w:tblCellMar>
            <w:top w:w="0" w:type="dxa"/>
            <w:left w:w="0" w:type="dxa"/>
            <w:bottom w:w="0" w:type="dxa"/>
            <w:right w:w="0" w:type="dxa"/>
          </w:tblCellMar>
        </w:tblPrEx>
        <w:trPr>
          <w:trHeight w:val="449"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val="0"/>
                <w:bCs w:val="0"/>
                <w:color w:val="000000"/>
                <w:sz w:val="20"/>
                <w:szCs w:val="20"/>
                <w:highlight w:val="yellow"/>
                <w:lang w:val="en-US" w:eastAsia="zh-CN"/>
              </w:rPr>
            </w:pPr>
            <w:r>
              <w:rPr>
                <w:rFonts w:hint="eastAsia" w:asciiTheme="minorEastAsia" w:hAnsiTheme="minorEastAsia" w:eastAsiaTheme="minorEastAsia" w:cstheme="minorEastAsia"/>
                <w:b w:val="0"/>
                <w:bCs w:val="0"/>
                <w:color w:val="000000"/>
                <w:sz w:val="20"/>
                <w:szCs w:val="20"/>
                <w:highlight w:val="none"/>
                <w:lang w:val="en-US" w:eastAsia="zh-CN"/>
              </w:rPr>
              <w:t>生态环境影响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30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91.90</w:t>
            </w:r>
          </w:p>
        </w:tc>
      </w:tr>
      <w:tr>
        <w:tblPrEx>
          <w:tblCellMar>
            <w:top w:w="0" w:type="dxa"/>
            <w:left w:w="0" w:type="dxa"/>
            <w:bottom w:w="0" w:type="dxa"/>
            <w:right w:w="0" w:type="dxa"/>
          </w:tblCellMar>
        </w:tblPrEx>
        <w:trPr>
          <w:trHeight w:val="445"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bCs/>
                <w:color w:val="000000"/>
                <w:sz w:val="20"/>
                <w:szCs w:val="20"/>
                <w:highlight w:val="none"/>
                <w:lang w:val="en-US" w:eastAsia="zh-CN"/>
              </w:rPr>
            </w:pPr>
            <w:r>
              <w:rPr>
                <w:rFonts w:hint="eastAsia" w:asciiTheme="minorEastAsia" w:hAnsiTheme="minorEastAsia" w:eastAsiaTheme="minorEastAsia" w:cstheme="minorEastAsia"/>
                <w:b/>
                <w:bCs/>
                <w:color w:val="000000"/>
                <w:sz w:val="20"/>
                <w:szCs w:val="20"/>
                <w:highlight w:val="none"/>
                <w:lang w:val="en-US" w:eastAsia="zh-CN"/>
              </w:rPr>
              <w:t>综合得分</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bCs/>
                <w:color w:val="000000"/>
                <w:sz w:val="20"/>
                <w:szCs w:val="20"/>
                <w:highlight w:val="none"/>
                <w:lang w:val="en-US" w:eastAsia="zh-CN"/>
              </w:rPr>
            </w:pPr>
            <w:r>
              <w:rPr>
                <w:rFonts w:hint="eastAsia" w:asciiTheme="minorEastAsia" w:hAnsiTheme="minorEastAsia" w:eastAsiaTheme="minorEastAsia" w:cstheme="minorEastAsia"/>
                <w:b/>
                <w:bCs/>
                <w:color w:val="000000"/>
                <w:sz w:val="20"/>
                <w:szCs w:val="20"/>
                <w:highlight w:val="none"/>
                <w:lang w:val="en-US" w:eastAsia="zh-CN"/>
              </w:rPr>
              <w:t>94.09</w:t>
            </w:r>
          </w:p>
        </w:tc>
      </w:tr>
    </w:tbl>
    <w:p>
      <w:pPr>
        <w:keepNext w:val="0"/>
        <w:keepLines w:val="0"/>
        <w:pageBreakBefore w:val="0"/>
        <w:widowControl w:val="0"/>
        <w:tabs>
          <w:tab w:val="left" w:pos="511"/>
        </w:tabs>
        <w:kinsoku/>
        <w:wordWrap/>
        <w:overflowPunct/>
        <w:topLinePunct w:val="0"/>
        <w:autoSpaceDE/>
        <w:autoSpaceDN/>
        <w:bidi w:val="0"/>
        <w:adjustRightInd w:val="0"/>
        <w:snapToGrid w:val="0"/>
        <w:spacing w:line="560" w:lineRule="exact"/>
        <w:ind w:firstLine="640" w:firstLineChars="200"/>
        <w:jc w:val="both"/>
        <w:textAlignment w:val="auto"/>
        <w:outlineLvl w:val="0"/>
        <w:rPr>
          <w:rFonts w:hint="default" w:ascii="黑体" w:hAnsi="黑体" w:eastAsia="黑体"/>
          <w:sz w:val="32"/>
          <w:szCs w:val="36"/>
          <w:highlight w:val="yellow"/>
          <w:lang w:val="en-US" w:eastAsia="zh-CN"/>
        </w:rPr>
      </w:pPr>
      <w:bookmarkStart w:id="36" w:name="_Toc14170"/>
      <w:bookmarkStart w:id="37" w:name="_Toc6917"/>
      <w:bookmarkStart w:id="38" w:name="_Toc20916"/>
      <w:bookmarkStart w:id="39" w:name="_Toc32080"/>
      <w:bookmarkStart w:id="40" w:name="_Toc30081"/>
      <w:r>
        <w:rPr>
          <w:rFonts w:hint="eastAsia" w:ascii="黑体" w:hAnsi="黑体" w:eastAsia="黑体"/>
          <w:sz w:val="32"/>
          <w:szCs w:val="36"/>
          <w:highlight w:val="none"/>
          <w:lang w:val="en-US" w:eastAsia="zh-CN"/>
        </w:rPr>
        <w:t>五</w:t>
      </w:r>
      <w:r>
        <w:rPr>
          <w:rFonts w:hint="eastAsia" w:ascii="黑体" w:hAnsi="黑体" w:eastAsia="黑体"/>
          <w:sz w:val="32"/>
          <w:szCs w:val="36"/>
          <w:highlight w:val="none"/>
        </w:rPr>
        <w:t>、主要</w:t>
      </w:r>
      <w:r>
        <w:rPr>
          <w:rFonts w:hint="eastAsia" w:ascii="黑体" w:hAnsi="黑体" w:eastAsia="黑体"/>
          <w:sz w:val="32"/>
          <w:szCs w:val="36"/>
          <w:highlight w:val="none"/>
          <w:lang w:val="en-US" w:eastAsia="zh-CN"/>
        </w:rPr>
        <w:t>存在的</w:t>
      </w:r>
      <w:r>
        <w:rPr>
          <w:rFonts w:hint="eastAsia" w:ascii="黑体" w:hAnsi="黑体" w:eastAsia="黑体"/>
          <w:sz w:val="32"/>
          <w:szCs w:val="36"/>
          <w:highlight w:val="none"/>
        </w:rPr>
        <w:t>问题</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仿宋_GB2312" w:hAnsi="仿宋_GB2312" w:eastAsia="楷体_GB2312" w:cs="仿宋_GB2312"/>
          <w:b w:val="0"/>
          <w:bCs w:val="0"/>
          <w:sz w:val="32"/>
          <w:szCs w:val="32"/>
          <w:highlight w:val="none"/>
          <w:lang w:val="en-US" w:eastAsia="zh-CN"/>
        </w:rPr>
      </w:pPr>
      <w:bookmarkStart w:id="41" w:name="_Toc11509"/>
      <w:r>
        <w:rPr>
          <w:rFonts w:hint="eastAsia" w:ascii="楷体_GB2312" w:hAnsi="仿宋" w:eastAsia="楷体_GB2312"/>
          <w:b w:val="0"/>
          <w:bCs w:val="0"/>
          <w:sz w:val="32"/>
          <w:szCs w:val="32"/>
          <w:highlight w:val="none"/>
        </w:rPr>
        <w:t>（</w:t>
      </w:r>
      <w:r>
        <w:rPr>
          <w:rFonts w:hint="eastAsia" w:ascii="楷体_GB2312" w:hAnsi="仿宋" w:eastAsia="楷体_GB2312"/>
          <w:b w:val="0"/>
          <w:bCs w:val="0"/>
          <w:sz w:val="32"/>
          <w:szCs w:val="32"/>
          <w:highlight w:val="none"/>
          <w:lang w:val="en-US" w:eastAsia="zh-CN"/>
        </w:rPr>
        <w:t>一</w:t>
      </w:r>
      <w:r>
        <w:rPr>
          <w:rFonts w:hint="eastAsia" w:ascii="楷体_GB2312" w:hAnsi="仿宋" w:eastAsia="楷体_GB2312"/>
          <w:b w:val="0"/>
          <w:bCs w:val="0"/>
          <w:sz w:val="32"/>
          <w:szCs w:val="32"/>
          <w:highlight w:val="none"/>
        </w:rPr>
        <w:t>）</w:t>
      </w:r>
      <w:r>
        <w:rPr>
          <w:rFonts w:hint="eastAsia" w:ascii="楷体_GB2312" w:hAnsi="仿宋" w:eastAsia="楷体_GB2312"/>
          <w:b w:val="0"/>
          <w:bCs w:val="0"/>
          <w:sz w:val="32"/>
          <w:szCs w:val="32"/>
          <w:highlight w:val="none"/>
          <w:lang w:val="en-US" w:eastAsia="zh-CN"/>
        </w:rPr>
        <w:t>财务管理不规范</w:t>
      </w:r>
      <w:bookmarkEnd w:id="41"/>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威宁学校建设工程财务人员工作不到位，</w:t>
      </w:r>
      <w:r>
        <w:rPr>
          <w:rFonts w:hint="eastAsia" w:ascii="仿宋_GB2312" w:hAnsi="仿宋_GB2312" w:eastAsia="仿宋_GB2312" w:cs="仿宋_GB2312"/>
          <w:sz w:val="32"/>
          <w:szCs w:val="32"/>
          <w:highlight w:val="none"/>
          <w:lang w:val="en-US" w:eastAsia="zh-CN"/>
        </w:rPr>
        <w:t>财务凭证等相关材料存在缺失、不规范的情况，财政专项资金缺少2021年6月份前相关内容，科目摘要内容无法区分资金来源（一般性债券资金和区级财政配套资金）。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楷体_GB2312" w:hAnsi="仿宋" w:eastAsia="楷体_GB2312"/>
          <w:b w:val="0"/>
          <w:bCs w:val="0"/>
          <w:sz w:val="32"/>
          <w:szCs w:val="32"/>
          <w:highlight w:val="none"/>
          <w:lang w:val="en-US" w:eastAsia="zh-CN"/>
        </w:rPr>
      </w:pPr>
      <w:bookmarkStart w:id="42" w:name="_Toc32001"/>
      <w:r>
        <w:rPr>
          <w:rFonts w:hint="eastAsia" w:ascii="楷体_GB2312" w:hAnsi="仿宋" w:eastAsia="楷体_GB2312"/>
          <w:b w:val="0"/>
          <w:bCs w:val="0"/>
          <w:sz w:val="32"/>
          <w:szCs w:val="32"/>
          <w:highlight w:val="none"/>
          <w:lang w:eastAsia="zh-CN"/>
        </w:rPr>
        <w:t>（</w:t>
      </w:r>
      <w:r>
        <w:rPr>
          <w:rFonts w:hint="eastAsia" w:ascii="楷体_GB2312" w:hAnsi="仿宋" w:eastAsia="楷体_GB2312"/>
          <w:b w:val="0"/>
          <w:bCs w:val="0"/>
          <w:sz w:val="32"/>
          <w:szCs w:val="32"/>
          <w:highlight w:val="none"/>
          <w:lang w:val="en-US" w:eastAsia="zh-CN"/>
        </w:rPr>
        <w:t>二</w:t>
      </w:r>
      <w:r>
        <w:rPr>
          <w:rFonts w:hint="eastAsia" w:ascii="楷体_GB2312" w:hAnsi="仿宋" w:eastAsia="楷体_GB2312"/>
          <w:b w:val="0"/>
          <w:bCs w:val="0"/>
          <w:sz w:val="32"/>
          <w:szCs w:val="32"/>
          <w:highlight w:val="none"/>
          <w:lang w:eastAsia="zh-CN"/>
        </w:rPr>
        <w:t>）</w:t>
      </w:r>
      <w:r>
        <w:rPr>
          <w:rFonts w:hint="eastAsia" w:ascii="楷体_GB2312" w:hAnsi="仿宋" w:eastAsia="楷体_GB2312"/>
          <w:b w:val="0"/>
          <w:bCs w:val="0"/>
          <w:sz w:val="32"/>
          <w:szCs w:val="32"/>
          <w:highlight w:val="none"/>
          <w:lang w:val="en-US" w:eastAsia="zh-CN"/>
        </w:rPr>
        <w:t>资金拨付不及时</w:t>
      </w:r>
      <w:bookmarkEnd w:id="4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b w:val="0"/>
          <w:bCs w:val="0"/>
          <w:color w:val="auto"/>
          <w:sz w:val="32"/>
          <w:szCs w:val="36"/>
          <w:highlight w:val="none"/>
          <w:lang w:val="en-US" w:eastAsia="zh-CN"/>
        </w:rPr>
        <w:t>威宁学校建设工程施工前期，由于财政资金紧张长期不到位，导致新城开发有限公司工程款结算时间长达四至六个月。直至辽宁省政府一般性债券资金到位后才有所缓解，多数为月度结算。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sz w:val="32"/>
          <w:szCs w:val="32"/>
          <w:highlight w:val="none"/>
          <w:lang w:val="en-US" w:eastAsia="zh-CN"/>
        </w:rPr>
      </w:pPr>
      <w:bookmarkStart w:id="43" w:name="_Toc27893"/>
      <w:r>
        <w:rPr>
          <w:rFonts w:hint="eastAsia" w:ascii="黑体" w:hAnsi="黑体" w:eastAsia="黑体"/>
          <w:sz w:val="32"/>
          <w:szCs w:val="36"/>
          <w:highlight w:val="none"/>
          <w:lang w:val="en-US" w:eastAsia="zh-CN"/>
        </w:rPr>
        <w:t>六</w:t>
      </w:r>
      <w:r>
        <w:rPr>
          <w:rFonts w:hint="eastAsia" w:ascii="黑体" w:hAnsi="黑体" w:eastAsia="黑体"/>
          <w:sz w:val="32"/>
          <w:szCs w:val="36"/>
          <w:highlight w:val="none"/>
        </w:rPr>
        <w:t>、</w:t>
      </w:r>
      <w:r>
        <w:rPr>
          <w:rFonts w:hint="eastAsia" w:ascii="黑体" w:hAnsi="黑体" w:eastAsia="黑体"/>
          <w:sz w:val="32"/>
          <w:szCs w:val="36"/>
          <w:highlight w:val="none"/>
          <w:lang w:val="en-US" w:eastAsia="zh-CN"/>
        </w:rPr>
        <w:t>有关建议</w:t>
      </w:r>
      <w:bookmarkEnd w:id="4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eastAsia="楷体_GB2312"/>
          <w:b w:val="0"/>
          <w:bCs w:val="0"/>
          <w:sz w:val="32"/>
          <w:szCs w:val="32"/>
          <w:highlight w:val="none"/>
          <w:lang w:val="en-US"/>
        </w:rPr>
      </w:pPr>
      <w:bookmarkStart w:id="44" w:name="_Toc17320"/>
      <w:bookmarkStart w:id="45" w:name="_Toc31977"/>
      <w:bookmarkStart w:id="46" w:name="_Toc31415"/>
      <w:bookmarkStart w:id="47" w:name="_Toc30310"/>
      <w:bookmarkStart w:id="48" w:name="_Toc25789"/>
      <w:r>
        <w:rPr>
          <w:rFonts w:hint="eastAsia" w:ascii="楷体_GB2312" w:hAnsi="仿宋" w:eastAsia="楷体_GB2312"/>
          <w:b w:val="0"/>
          <w:bCs w:val="0"/>
          <w:sz w:val="32"/>
          <w:szCs w:val="32"/>
          <w:highlight w:val="none"/>
          <w:lang w:eastAsia="zh-CN"/>
        </w:rPr>
        <w:t>（</w:t>
      </w:r>
      <w:r>
        <w:rPr>
          <w:rFonts w:hint="eastAsia" w:ascii="楷体_GB2312" w:hAnsi="仿宋" w:eastAsia="楷体_GB2312"/>
          <w:b w:val="0"/>
          <w:bCs w:val="0"/>
          <w:sz w:val="32"/>
          <w:szCs w:val="32"/>
          <w:highlight w:val="none"/>
          <w:lang w:val="en-US" w:eastAsia="zh-CN"/>
        </w:rPr>
        <w:t>一</w:t>
      </w:r>
      <w:r>
        <w:rPr>
          <w:rFonts w:hint="eastAsia" w:ascii="楷体_GB2312" w:hAnsi="仿宋" w:eastAsia="楷体_GB2312"/>
          <w:b w:val="0"/>
          <w:bCs w:val="0"/>
          <w:sz w:val="32"/>
          <w:szCs w:val="32"/>
          <w:highlight w:val="none"/>
          <w:lang w:eastAsia="zh-CN"/>
        </w:rPr>
        <w:t>）</w:t>
      </w:r>
      <w:bookmarkEnd w:id="44"/>
      <w:bookmarkEnd w:id="45"/>
      <w:bookmarkEnd w:id="46"/>
      <w:bookmarkEnd w:id="47"/>
      <w:r>
        <w:rPr>
          <w:rFonts w:hint="eastAsia" w:ascii="楷体_GB2312" w:hAnsi="仿宋" w:eastAsia="楷体_GB2312"/>
          <w:b w:val="0"/>
          <w:bCs w:val="0"/>
          <w:sz w:val="32"/>
          <w:szCs w:val="32"/>
          <w:highlight w:val="none"/>
          <w:lang w:val="en-US" w:eastAsia="zh-CN"/>
        </w:rPr>
        <w:t>加强财务业务管理</w:t>
      </w:r>
      <w:bookmarkEnd w:id="48"/>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建议</w:t>
      </w:r>
      <w:r>
        <w:rPr>
          <w:rFonts w:hint="eastAsia" w:ascii="仿宋_GB2312" w:hAnsi="仿宋_GB2312" w:eastAsia="仿宋_GB2312" w:cs="仿宋_GB2312"/>
          <w:sz w:val="32"/>
          <w:szCs w:val="32"/>
          <w:highlight w:val="none"/>
          <w:lang w:val="en-US" w:eastAsia="zh-CN"/>
        </w:rPr>
        <w:t>新城开发有限公司</w:t>
      </w:r>
      <w:r>
        <w:rPr>
          <w:rFonts w:hint="eastAsia" w:ascii="仿宋_GB2312" w:hAnsi="仿宋_GB2312" w:eastAsia="仿宋_GB2312" w:cs="仿宋_GB2312"/>
          <w:sz w:val="32"/>
          <w:szCs w:val="32"/>
        </w:rPr>
        <w:t>在日常工作中与</w:t>
      </w:r>
      <w:r>
        <w:rPr>
          <w:rFonts w:hint="eastAsia" w:ascii="仿宋_GB2312" w:hAnsi="仿宋_GB2312" w:eastAsia="仿宋_GB2312" w:cs="仿宋_GB2312"/>
          <w:sz w:val="32"/>
          <w:szCs w:val="32"/>
          <w:lang w:val="en-US" w:eastAsia="zh-CN"/>
        </w:rPr>
        <w:t>明山区财政局</w:t>
      </w:r>
      <w:r>
        <w:rPr>
          <w:rFonts w:hint="eastAsia" w:ascii="仿宋_GB2312" w:hAnsi="仿宋_GB2312" w:eastAsia="仿宋_GB2312" w:cs="仿宋_GB2312"/>
          <w:sz w:val="32"/>
          <w:szCs w:val="32"/>
        </w:rPr>
        <w:t>保持密切沟通，注重会计核算的规范性，加强对财务人员业务能力培训工作，确保会计凭证与所附相关材料</w:t>
      </w:r>
      <w:r>
        <w:rPr>
          <w:rFonts w:hint="eastAsia" w:ascii="仿宋_GB2312" w:hAnsi="仿宋_GB2312" w:eastAsia="仿宋_GB2312" w:cs="仿宋_GB2312"/>
          <w:sz w:val="32"/>
          <w:szCs w:val="32"/>
          <w:lang w:val="en-US" w:eastAsia="zh-CN"/>
        </w:rPr>
        <w:t>合理归档、存放完整</w:t>
      </w:r>
      <w:r>
        <w:rPr>
          <w:rFonts w:hint="eastAsia" w:ascii="仿宋_GB2312" w:hAnsi="仿宋_GB2312" w:eastAsia="仿宋_GB2312" w:cs="仿宋_GB2312"/>
          <w:sz w:val="32"/>
          <w:szCs w:val="32"/>
        </w:rPr>
        <w:t>。同时，加强财务队伍建设，保证财务工作的连续性。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楷体_GB2312" w:hAnsi="仿宋" w:eastAsia="楷体_GB2312"/>
          <w:b w:val="0"/>
          <w:bCs w:val="0"/>
          <w:color w:val="auto"/>
          <w:sz w:val="32"/>
          <w:szCs w:val="32"/>
          <w:highlight w:val="none"/>
          <w:lang w:val="en-US" w:eastAsia="zh-CN"/>
        </w:rPr>
      </w:pPr>
      <w:bookmarkStart w:id="49" w:name="_Toc11945"/>
      <w:r>
        <w:rPr>
          <w:rFonts w:hint="eastAsia" w:ascii="楷体_GB2312" w:hAnsi="仿宋" w:eastAsia="楷体_GB2312"/>
          <w:b w:val="0"/>
          <w:bCs w:val="0"/>
          <w:color w:val="auto"/>
          <w:sz w:val="32"/>
          <w:szCs w:val="32"/>
          <w:highlight w:val="none"/>
          <w:lang w:val="en-US" w:eastAsia="zh-CN"/>
        </w:rPr>
        <w:t>（二）提高资金拨付率</w:t>
      </w:r>
      <w:bookmarkEnd w:id="4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建议</w:t>
      </w:r>
      <w:r>
        <w:rPr>
          <w:rFonts w:hint="eastAsia" w:ascii="仿宋_GB2312" w:hAnsi="仿宋_GB2312" w:eastAsia="仿宋_GB2312" w:cs="仿宋_GB2312"/>
          <w:sz w:val="32"/>
          <w:szCs w:val="32"/>
          <w:highlight w:val="none"/>
          <w:lang w:val="en-US" w:eastAsia="zh-CN"/>
        </w:rPr>
        <w:t>新城开发有限公司</w:t>
      </w:r>
      <w:r>
        <w:rPr>
          <w:rFonts w:hint="eastAsia" w:ascii="仿宋_GB2312" w:hAnsi="仿宋_GB2312" w:eastAsia="仿宋_GB2312" w:cs="仿宋_GB2312"/>
          <w:kern w:val="2"/>
          <w:sz w:val="32"/>
          <w:szCs w:val="32"/>
          <w:highlight w:val="none"/>
          <w:lang w:val="en-US" w:eastAsia="zh-CN" w:bidi="ar-SA"/>
        </w:rPr>
        <w:t>加强与明山区财政局沟通工作，</w:t>
      </w:r>
      <w:r>
        <w:rPr>
          <w:rFonts w:hint="eastAsia" w:ascii="仿宋_GB2312" w:hAnsi="仿宋_GB2312" w:eastAsia="仿宋_GB2312" w:cs="仿宋_GB2312"/>
          <w:sz w:val="32"/>
          <w:szCs w:val="32"/>
          <w:highlight w:val="none"/>
          <w:lang w:val="en-US" w:eastAsia="zh-CN"/>
        </w:rPr>
        <w:t>根据项目建设实施进度计划</w:t>
      </w:r>
      <w:r>
        <w:rPr>
          <w:rFonts w:hint="eastAsia" w:ascii="仿宋_GB2312" w:hAnsi="仿宋_GB2312" w:eastAsia="仿宋_GB2312" w:cs="仿宋_GB2312"/>
          <w:kern w:val="2"/>
          <w:sz w:val="32"/>
          <w:szCs w:val="32"/>
          <w:highlight w:val="none"/>
          <w:lang w:val="en-US" w:eastAsia="zh-CN" w:bidi="ar-SA"/>
        </w:rPr>
        <w:t>向明山区财政局申请项目建设资金，将项目工程款及时拨付给项目施工单位。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w:t>
      </w:r>
      <w:r>
        <w:rPr>
          <w:rFonts w:hint="eastAsia" w:ascii="仿宋_GB2312" w:hAnsi="仿宋_GB2312" w:eastAsia="仿宋_GB2312" w:cs="仿宋_GB2312"/>
          <w:sz w:val="32"/>
          <w:szCs w:val="32"/>
          <w:highlight w:val="none"/>
          <w:lang w:val="en-US" w:eastAsia="zh-CN"/>
        </w:rPr>
        <w:t>本溪市明山区威宁学校建设工程</w:t>
      </w:r>
      <w:r>
        <w:rPr>
          <w:rFonts w:hint="eastAsia" w:ascii="仿宋_GB2312" w:hAnsi="仿宋_GB2312" w:eastAsia="仿宋_GB2312" w:cs="仿宋_GB2312"/>
          <w:b w:val="0"/>
          <w:bCs w:val="0"/>
          <w:sz w:val="32"/>
          <w:szCs w:val="32"/>
          <w:highlight w:val="none"/>
          <w:lang w:val="en-US" w:eastAsia="zh-CN"/>
        </w:rPr>
        <w:t>绩效评价得分表</w:t>
      </w:r>
    </w:p>
    <w:p>
      <w:pPr>
        <w:rPr>
          <w:rFonts w:hint="eastAsia"/>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w:t>
      </w:r>
    </w:p>
    <w:p>
      <w:pPr>
        <w:pStyle w:val="2"/>
        <w:jc w:val="center"/>
        <w:rPr>
          <w:rFonts w:hint="eastAsia"/>
          <w:sz w:val="32"/>
          <w:szCs w:val="32"/>
        </w:rPr>
      </w:pPr>
      <w:r>
        <w:rPr>
          <w:rFonts w:hint="eastAsia" w:ascii="黑体" w:hAnsi="宋体" w:eastAsia="黑体" w:cs="黑体"/>
          <w:i w:val="0"/>
          <w:color w:val="000000"/>
          <w:kern w:val="0"/>
          <w:sz w:val="32"/>
          <w:szCs w:val="32"/>
          <w:u w:val="none"/>
          <w:lang w:val="en-US" w:eastAsia="zh-CN" w:bidi="ar"/>
        </w:rPr>
        <w:t>本溪市明山区威宁学校建设工程绩效评价得分表</w:t>
      </w:r>
    </w:p>
    <w:tbl>
      <w:tblPr>
        <w:tblStyle w:val="12"/>
        <w:tblW w:w="5010" w:type="pct"/>
        <w:jc w:val="center"/>
        <w:shd w:val="clear" w:color="auto" w:fill="auto"/>
        <w:tblLayout w:type="fixed"/>
        <w:tblCellMar>
          <w:top w:w="0" w:type="dxa"/>
          <w:left w:w="0" w:type="dxa"/>
          <w:bottom w:w="0" w:type="dxa"/>
          <w:right w:w="0" w:type="dxa"/>
        </w:tblCellMar>
      </w:tblPr>
      <w:tblGrid>
        <w:gridCol w:w="923"/>
        <w:gridCol w:w="535"/>
        <w:gridCol w:w="1032"/>
        <w:gridCol w:w="495"/>
        <w:gridCol w:w="1133"/>
        <w:gridCol w:w="564"/>
        <w:gridCol w:w="4732"/>
        <w:gridCol w:w="2380"/>
        <w:gridCol w:w="623"/>
        <w:gridCol w:w="1593"/>
      </w:tblGrid>
      <w:tr>
        <w:tblPrEx>
          <w:tblCellMar>
            <w:top w:w="0" w:type="dxa"/>
            <w:left w:w="0" w:type="dxa"/>
            <w:bottom w:w="0" w:type="dxa"/>
            <w:right w:w="0" w:type="dxa"/>
          </w:tblCellMar>
        </w:tblPrEx>
        <w:trPr>
          <w:trHeight w:val="480" w:hRule="atLeast"/>
          <w:tblHeader/>
          <w:jc w:val="center"/>
        </w:trPr>
        <w:tc>
          <w:tcPr>
            <w:tcW w:w="329"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90"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68"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76"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04"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01"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688"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指标解释及评分要点</w:t>
            </w:r>
          </w:p>
        </w:tc>
        <w:tc>
          <w:tcPr>
            <w:tcW w:w="849"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评价标准</w:t>
            </w:r>
          </w:p>
        </w:tc>
        <w:tc>
          <w:tcPr>
            <w:tcW w:w="222"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568"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扣分原因</w:t>
            </w:r>
          </w:p>
        </w:tc>
      </w:tr>
      <w:tr>
        <w:tblPrEx>
          <w:tblCellMar>
            <w:top w:w="0" w:type="dxa"/>
            <w:left w:w="0" w:type="dxa"/>
            <w:bottom w:w="0" w:type="dxa"/>
            <w:right w:w="0" w:type="dxa"/>
          </w:tblCellMar>
        </w:tblPrEx>
        <w:trPr>
          <w:trHeight w:val="3664" w:hRule="atLeast"/>
          <w:jc w:val="center"/>
        </w:trPr>
        <w:tc>
          <w:tcPr>
            <w:tcW w:w="329"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lang w:eastAsia="zh-CN"/>
              </w:rPr>
            </w:pPr>
            <w:r>
              <w:rPr>
                <w:rFonts w:hint="eastAsia" w:ascii="宋体" w:hAnsi="宋体" w:eastAsia="宋体" w:cs="宋体"/>
                <w:i w:val="0"/>
                <w:color w:val="000000"/>
                <w:kern w:val="0"/>
                <w:sz w:val="20"/>
                <w:szCs w:val="20"/>
                <w:highlight w:val="none"/>
                <w:u w:val="none"/>
                <w:lang w:val="en-US" w:eastAsia="zh-CN" w:bidi="ar"/>
              </w:rPr>
              <w:t>决策</w:t>
            </w:r>
          </w:p>
        </w:tc>
        <w:tc>
          <w:tcPr>
            <w:tcW w:w="190"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368"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项目决策</w:t>
            </w:r>
          </w:p>
        </w:tc>
        <w:tc>
          <w:tcPr>
            <w:tcW w:w="176"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eastAsia="zh-CN"/>
              </w:rPr>
            </w:pPr>
            <w:r>
              <w:rPr>
                <w:rFonts w:hint="eastAsia" w:ascii="宋体" w:hAnsi="宋体" w:cs="宋体"/>
                <w:i w:val="0"/>
                <w:color w:val="000000"/>
                <w:sz w:val="20"/>
                <w:szCs w:val="20"/>
                <w:highlight w:val="none"/>
                <w:u w:val="none"/>
                <w:lang w:val="en-US" w:eastAsia="zh-CN"/>
              </w:rPr>
              <w:t>10</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立项依据</w:t>
            </w:r>
          </w:p>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充分性</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评价项目立项是否符合法律法规、相关政策、发展规划以及部门职责。</w:t>
            </w:r>
          </w:p>
          <w:p>
            <w:pPr>
              <w:keepNext w:val="0"/>
              <w:keepLines w:val="0"/>
              <w:widowControl/>
              <w:suppressLineNumbers w:val="0"/>
              <w:jc w:val="left"/>
              <w:textAlignment w:val="center"/>
              <w:rPr>
                <w:rStyle w:val="19"/>
                <w:rFonts w:hint="default"/>
                <w:b/>
                <w:bCs/>
                <w:sz w:val="21"/>
                <w:szCs w:val="21"/>
                <w:highlight w:val="none"/>
                <w:lang w:bidi="ar"/>
              </w:rPr>
            </w:pPr>
            <w:r>
              <w:rPr>
                <w:rStyle w:val="19"/>
                <w:rFonts w:hint="default"/>
                <w:b/>
                <w:bCs/>
                <w:sz w:val="21"/>
                <w:szCs w:val="21"/>
                <w:highlight w:val="none"/>
                <w:lang w:bidi="ar"/>
              </w:rPr>
              <w:t>评价要点：</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 xml:space="preserve">①项目立项是否符合国家法律法规、国民经济发展规划和相关政策； </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②项目立项是否符合行业发展规划和政策要求；</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 xml:space="preserve">③项目立项是否与部门职责范围相符，属于部门履职所需； </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Style w:val="19"/>
                <w:rFonts w:hint="default"/>
                <w:sz w:val="21"/>
                <w:szCs w:val="21"/>
                <w:highlight w:val="none"/>
                <w:lang w:bidi="ar"/>
              </w:rPr>
              <w:t>④项目是否属于政府投资项目，符合一般债券投资领域和方向。</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bidi="ar"/>
              </w:rPr>
              <w:t>每符合一项评价要点，得1分。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highlight w:val="none"/>
                <w:u w:val="none"/>
              </w:rPr>
            </w:pPr>
            <w:r>
              <w:rPr>
                <w:rFonts w:hint="eastAsia" w:ascii="宋体" w:hAnsi="宋体" w:eastAsia="宋体" w:cs="宋体"/>
                <w:b w:val="0"/>
                <w:bCs w:val="0"/>
                <w:i w:val="0"/>
                <w:color w:val="000000"/>
                <w:kern w:val="0"/>
                <w:sz w:val="20"/>
                <w:szCs w:val="20"/>
                <w:highlight w:val="none"/>
                <w:u w:val="none"/>
                <w:lang w:val="en-US" w:eastAsia="zh-CN" w:bidi="ar"/>
              </w:rPr>
              <w:t>4</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w:t>
            </w:r>
          </w:p>
        </w:tc>
      </w:tr>
      <w:tr>
        <w:tblPrEx>
          <w:tblCellMar>
            <w:top w:w="0" w:type="dxa"/>
            <w:left w:w="0" w:type="dxa"/>
            <w:bottom w:w="0" w:type="dxa"/>
            <w:right w:w="0" w:type="dxa"/>
          </w:tblCellMar>
        </w:tblPrEx>
        <w:trPr>
          <w:trHeight w:val="2631" w:hRule="atLeast"/>
          <w:jc w:val="center"/>
        </w:trPr>
        <w:tc>
          <w:tcPr>
            <w:tcW w:w="329"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lang w:eastAsia="zh-CN"/>
              </w:rPr>
            </w:pPr>
          </w:p>
        </w:tc>
        <w:tc>
          <w:tcPr>
            <w:tcW w:w="190"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368"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176"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lang w:val="en-US" w:eastAsia="zh-CN"/>
              </w:rPr>
            </w:pP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立项</w:t>
            </w:r>
            <w:r>
              <w:rPr>
                <w:rFonts w:hint="eastAsia" w:ascii="宋体" w:hAnsi="宋体" w:eastAsia="宋体" w:cs="宋体"/>
                <w:i w:val="0"/>
                <w:color w:val="000000"/>
                <w:kern w:val="0"/>
                <w:sz w:val="20"/>
                <w:szCs w:val="20"/>
                <w:highlight w:val="none"/>
                <w:u w:val="none"/>
                <w:lang w:val="en-US" w:eastAsia="zh-CN" w:bidi="ar"/>
              </w:rPr>
              <w:t>程序</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规范性</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6</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评价项目的申请、设立过程是否符合相关要求，用以反映和考核项目立项的规范情况。</w:t>
            </w:r>
          </w:p>
          <w:p>
            <w:pPr>
              <w:keepNext w:val="0"/>
              <w:keepLines w:val="0"/>
              <w:widowControl/>
              <w:suppressLineNumbers w:val="0"/>
              <w:jc w:val="left"/>
              <w:textAlignment w:val="center"/>
              <w:rPr>
                <w:rStyle w:val="19"/>
                <w:rFonts w:hint="default"/>
                <w:b/>
                <w:bCs/>
                <w:sz w:val="21"/>
                <w:szCs w:val="21"/>
                <w:highlight w:val="none"/>
                <w:lang w:bidi="ar"/>
              </w:rPr>
            </w:pPr>
            <w:r>
              <w:rPr>
                <w:rStyle w:val="19"/>
                <w:rFonts w:hint="default"/>
                <w:b/>
                <w:bCs/>
                <w:sz w:val="21"/>
                <w:szCs w:val="21"/>
                <w:highlight w:val="none"/>
                <w:lang w:bidi="ar"/>
              </w:rPr>
              <w:t>评价要点：</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①项目是否按照规定的程序申请设立；</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②审批文件、材料是否符合相关要求；</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lang w:eastAsia="zh-CN"/>
              </w:rPr>
            </w:pPr>
            <w:r>
              <w:rPr>
                <w:rStyle w:val="19"/>
                <w:rFonts w:hint="default"/>
                <w:sz w:val="21"/>
                <w:szCs w:val="21"/>
                <w:highlight w:val="none"/>
                <w:lang w:bidi="ar"/>
              </w:rPr>
              <w:t>③事前是否已经过必要的可行性研究或专家论证或风险评估或集体决策等</w:t>
            </w:r>
            <w:r>
              <w:rPr>
                <w:rStyle w:val="19"/>
                <w:rFonts w:hint="eastAsia"/>
                <w:sz w:val="21"/>
                <w:szCs w:val="21"/>
                <w:highlight w:val="none"/>
                <w:lang w:eastAsia="zh-CN" w:bidi="ar"/>
              </w:rPr>
              <w:t>。</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val="en-US" w:eastAsia="zh-CN" w:bidi="ar"/>
              </w:rPr>
              <w:t>每符合一项评价要点，得2分。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highlight w:val="none"/>
                <w:u w:val="none"/>
                <w:lang w:val="en-US" w:eastAsia="zh-CN"/>
              </w:rPr>
            </w:pPr>
            <w:r>
              <w:rPr>
                <w:rFonts w:hint="eastAsia" w:ascii="宋体" w:hAnsi="宋体" w:cs="宋体"/>
                <w:b w:val="0"/>
                <w:bCs w:val="0"/>
                <w:i w:val="0"/>
                <w:color w:val="000000"/>
                <w:sz w:val="20"/>
                <w:szCs w:val="20"/>
                <w:highlight w:val="none"/>
                <w:u w:val="none"/>
                <w:lang w:val="en-US" w:eastAsia="zh-CN"/>
              </w:rPr>
              <w:t>6</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w:t>
            </w:r>
          </w:p>
        </w:tc>
      </w:tr>
      <w:tr>
        <w:tblPrEx>
          <w:tblCellMar>
            <w:top w:w="0" w:type="dxa"/>
            <w:left w:w="0" w:type="dxa"/>
            <w:bottom w:w="0" w:type="dxa"/>
            <w:right w:w="0" w:type="dxa"/>
          </w:tblCellMar>
        </w:tblPrEx>
        <w:trPr>
          <w:trHeight w:val="2663" w:hRule="atLeast"/>
          <w:jc w:val="center"/>
        </w:trPr>
        <w:tc>
          <w:tcPr>
            <w:tcW w:w="329"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决策</w:t>
            </w:r>
          </w:p>
        </w:tc>
        <w:tc>
          <w:tcPr>
            <w:tcW w:w="190"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20</w:t>
            </w:r>
          </w:p>
        </w:tc>
        <w:tc>
          <w:tcPr>
            <w:tcW w:w="368"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kern w:val="0"/>
                <w:sz w:val="20"/>
                <w:szCs w:val="20"/>
                <w:highlight w:val="none"/>
                <w:u w:val="none"/>
                <w:lang w:val="en-US" w:eastAsia="zh-CN" w:bidi="ar"/>
              </w:rPr>
              <w:t>资金</w:t>
            </w:r>
            <w:r>
              <w:rPr>
                <w:rFonts w:hint="eastAsia" w:ascii="宋体" w:hAnsi="宋体" w:cs="宋体"/>
                <w:i w:val="0"/>
                <w:color w:val="000000"/>
                <w:kern w:val="0"/>
                <w:sz w:val="20"/>
                <w:szCs w:val="20"/>
                <w:highlight w:val="none"/>
                <w:u w:val="none"/>
                <w:lang w:val="en-US" w:eastAsia="zh-CN" w:bidi="ar"/>
              </w:rPr>
              <w:t>投入</w:t>
            </w:r>
          </w:p>
        </w:tc>
        <w:tc>
          <w:tcPr>
            <w:tcW w:w="176"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10</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资金申请</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科学性</w:t>
            </w:r>
          </w:p>
        </w:tc>
        <w:tc>
          <w:tcPr>
            <w:tcW w:w="201"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6</w:t>
            </w:r>
          </w:p>
        </w:tc>
        <w:tc>
          <w:tcPr>
            <w:tcW w:w="16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评价项目申请一般债券资金是否经过科学论证、有明确标准，资金额度与年度目标是否相适应。</w:t>
            </w:r>
          </w:p>
          <w:p>
            <w:pPr>
              <w:keepNext w:val="0"/>
              <w:keepLines w:val="0"/>
              <w:widowControl/>
              <w:suppressLineNumbers w:val="0"/>
              <w:jc w:val="left"/>
              <w:textAlignment w:val="center"/>
              <w:rPr>
                <w:rStyle w:val="19"/>
                <w:rFonts w:hint="default"/>
                <w:b/>
                <w:bCs/>
                <w:sz w:val="21"/>
                <w:szCs w:val="21"/>
                <w:highlight w:val="none"/>
                <w:lang w:bidi="ar"/>
              </w:rPr>
            </w:pPr>
            <w:r>
              <w:rPr>
                <w:rStyle w:val="19"/>
                <w:rFonts w:hint="default"/>
                <w:b/>
                <w:bCs/>
                <w:sz w:val="21"/>
                <w:szCs w:val="21"/>
                <w:highlight w:val="none"/>
                <w:lang w:bidi="ar"/>
              </w:rPr>
              <w:t>评价要点：</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①预算编制是否经过科学论证；</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②预算额度测算依据是否充分，是否按照标准编制；</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Style w:val="19"/>
                <w:rFonts w:hint="default"/>
                <w:sz w:val="21"/>
                <w:szCs w:val="21"/>
                <w:highlight w:val="none"/>
                <w:lang w:bidi="ar"/>
              </w:rPr>
              <w:t>③预算确定的项目投资额或资金量是否与工作任务相匹配。</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val="en-US" w:eastAsia="zh-CN" w:bidi="ar"/>
              </w:rPr>
              <w:t>每符合一项评价要点，得2分。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0"/>
                <w:szCs w:val="20"/>
                <w:highlight w:val="none"/>
                <w:u w:val="none"/>
                <w:lang w:val="en-US" w:eastAsia="zh-CN"/>
              </w:rPr>
            </w:pPr>
            <w:r>
              <w:rPr>
                <w:rFonts w:hint="eastAsia" w:ascii="宋体" w:hAnsi="宋体" w:cs="宋体"/>
                <w:b w:val="0"/>
                <w:bCs w:val="0"/>
                <w:i w:val="0"/>
                <w:color w:val="000000"/>
                <w:sz w:val="20"/>
                <w:szCs w:val="20"/>
                <w:highlight w:val="none"/>
                <w:u w:val="none"/>
                <w:lang w:val="en-US" w:eastAsia="zh-CN"/>
              </w:rPr>
              <w:t>6</w:t>
            </w:r>
          </w:p>
        </w:tc>
        <w:tc>
          <w:tcPr>
            <w:tcW w:w="5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r>
      <w:tr>
        <w:tblPrEx>
          <w:tblCellMar>
            <w:top w:w="0" w:type="dxa"/>
            <w:left w:w="0" w:type="dxa"/>
            <w:bottom w:w="0" w:type="dxa"/>
            <w:right w:w="0" w:type="dxa"/>
          </w:tblCellMar>
        </w:tblPrEx>
        <w:trPr>
          <w:trHeight w:val="1978" w:hRule="atLeast"/>
          <w:jc w:val="center"/>
        </w:trPr>
        <w:tc>
          <w:tcPr>
            <w:tcW w:w="329"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368"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p>
        </w:tc>
        <w:tc>
          <w:tcPr>
            <w:tcW w:w="176"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lang w:val="en-US" w:eastAsia="zh-CN"/>
              </w:rPr>
            </w:pPr>
          </w:p>
        </w:tc>
        <w:tc>
          <w:tcPr>
            <w:tcW w:w="404" w:type="pct"/>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资金分配</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合理性</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4</w:t>
            </w:r>
          </w:p>
        </w:tc>
        <w:tc>
          <w:tcPr>
            <w:tcW w:w="16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评价项目预算资金分配是否有测算依据，与项目单位或地方资金需求实际是否相适应。</w:t>
            </w:r>
          </w:p>
          <w:p>
            <w:pPr>
              <w:keepNext w:val="0"/>
              <w:keepLines w:val="0"/>
              <w:widowControl/>
              <w:suppressLineNumbers w:val="0"/>
              <w:jc w:val="left"/>
              <w:textAlignment w:val="center"/>
              <w:rPr>
                <w:rStyle w:val="19"/>
                <w:rFonts w:hint="default"/>
                <w:b/>
                <w:bCs/>
                <w:sz w:val="21"/>
                <w:szCs w:val="21"/>
                <w:highlight w:val="none"/>
                <w:lang w:bidi="ar"/>
              </w:rPr>
            </w:pPr>
            <w:r>
              <w:rPr>
                <w:rStyle w:val="19"/>
                <w:rFonts w:hint="default"/>
                <w:b/>
                <w:bCs/>
                <w:sz w:val="21"/>
                <w:szCs w:val="21"/>
                <w:highlight w:val="none"/>
                <w:lang w:bidi="ar"/>
              </w:rPr>
              <w:t>评价要点：</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①预算资金分配依据是否充分；</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Style w:val="19"/>
                <w:rFonts w:hint="default"/>
                <w:sz w:val="21"/>
                <w:szCs w:val="21"/>
                <w:highlight w:val="none"/>
                <w:lang w:bidi="ar"/>
              </w:rPr>
              <w:t>②资金分配额度是否合理，与项目单位或地方实际是否相适应。</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bidi="ar"/>
              </w:rPr>
              <w:t>每符合一项评价要点，得2分。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0"/>
                <w:szCs w:val="20"/>
                <w:highlight w:val="none"/>
                <w:u w:val="none"/>
                <w:lang w:val="en-US" w:eastAsia="zh-CN"/>
              </w:rPr>
            </w:pPr>
            <w:r>
              <w:rPr>
                <w:rFonts w:hint="eastAsia" w:ascii="宋体" w:hAnsi="宋体" w:cs="宋体"/>
                <w:b w:val="0"/>
                <w:bCs w:val="0"/>
                <w:i w:val="0"/>
                <w:color w:val="000000"/>
                <w:sz w:val="20"/>
                <w:szCs w:val="20"/>
                <w:highlight w:val="none"/>
                <w:u w:val="none"/>
                <w:lang w:val="en-US" w:eastAsia="zh-CN"/>
              </w:rPr>
              <w:t>4</w:t>
            </w:r>
          </w:p>
        </w:tc>
        <w:tc>
          <w:tcPr>
            <w:tcW w:w="5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r>
      <w:tr>
        <w:tblPrEx>
          <w:tblCellMar>
            <w:top w:w="0" w:type="dxa"/>
            <w:left w:w="0" w:type="dxa"/>
            <w:bottom w:w="0" w:type="dxa"/>
            <w:right w:w="0" w:type="dxa"/>
          </w:tblCellMar>
        </w:tblPrEx>
        <w:trPr>
          <w:trHeight w:val="2984" w:hRule="atLeast"/>
          <w:jc w:val="center"/>
        </w:trPr>
        <w:tc>
          <w:tcPr>
            <w:tcW w:w="329" w:type="pct"/>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过程</w:t>
            </w:r>
          </w:p>
        </w:tc>
        <w:tc>
          <w:tcPr>
            <w:tcW w:w="190" w:type="pct"/>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cs="宋体"/>
                <w:i w:val="0"/>
                <w:color w:val="000000"/>
                <w:kern w:val="0"/>
                <w:sz w:val="20"/>
                <w:szCs w:val="20"/>
                <w:highlight w:val="none"/>
                <w:u w:val="none"/>
                <w:lang w:val="en-US" w:eastAsia="zh-CN" w:bidi="ar"/>
              </w:rPr>
              <w:t>35</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组织实施</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8</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管理制度</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健全性</w:t>
            </w:r>
          </w:p>
        </w:tc>
        <w:tc>
          <w:tcPr>
            <w:tcW w:w="201"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4</w:t>
            </w:r>
          </w:p>
        </w:tc>
        <w:tc>
          <w:tcPr>
            <w:tcW w:w="16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kern w:val="0"/>
                <w:sz w:val="21"/>
                <w:szCs w:val="21"/>
                <w:highlight w:val="none"/>
                <w:lang w:val="en-US" w:eastAsia="zh-CN" w:bidi="ar"/>
              </w:rPr>
            </w:pPr>
            <w:r>
              <w:rPr>
                <w:rStyle w:val="19"/>
                <w:rFonts w:hint="default"/>
                <w:kern w:val="0"/>
                <w:sz w:val="21"/>
                <w:szCs w:val="21"/>
                <w:highlight w:val="none"/>
                <w:lang w:val="en-US" w:eastAsia="zh-CN" w:bidi="ar"/>
              </w:rPr>
              <w:t>评价项目实施单位的业务管理制度是否健全，用以反映和考核其对项目实施的保障情况。</w:t>
            </w:r>
          </w:p>
          <w:p>
            <w:pPr>
              <w:keepNext w:val="0"/>
              <w:keepLines w:val="0"/>
              <w:widowControl/>
              <w:suppressLineNumbers w:val="0"/>
              <w:jc w:val="left"/>
              <w:textAlignment w:val="center"/>
              <w:rPr>
                <w:rStyle w:val="19"/>
                <w:rFonts w:hint="default"/>
                <w:b/>
                <w:bCs/>
                <w:kern w:val="0"/>
                <w:sz w:val="21"/>
                <w:szCs w:val="21"/>
                <w:highlight w:val="none"/>
                <w:lang w:val="en-US" w:eastAsia="zh-CN" w:bidi="ar"/>
              </w:rPr>
            </w:pPr>
            <w:r>
              <w:rPr>
                <w:rStyle w:val="19"/>
                <w:rFonts w:hint="default"/>
                <w:b/>
                <w:bCs/>
                <w:kern w:val="0"/>
                <w:sz w:val="21"/>
                <w:szCs w:val="21"/>
                <w:highlight w:val="none"/>
                <w:lang w:val="en-US" w:eastAsia="zh-CN" w:bidi="ar"/>
              </w:rPr>
              <w:t>评价要点：</w:t>
            </w:r>
          </w:p>
          <w:p>
            <w:pPr>
              <w:keepNext w:val="0"/>
              <w:keepLines w:val="0"/>
              <w:widowControl/>
              <w:suppressLineNumbers w:val="0"/>
              <w:jc w:val="left"/>
              <w:textAlignment w:val="center"/>
              <w:rPr>
                <w:rStyle w:val="19"/>
                <w:rFonts w:hint="default"/>
                <w:kern w:val="0"/>
                <w:sz w:val="21"/>
                <w:szCs w:val="21"/>
                <w:highlight w:val="none"/>
                <w:lang w:val="en-US" w:eastAsia="zh-CN" w:bidi="ar"/>
              </w:rPr>
            </w:pPr>
            <w:r>
              <w:rPr>
                <w:rStyle w:val="19"/>
                <w:rFonts w:hint="default"/>
                <w:kern w:val="0"/>
                <w:sz w:val="21"/>
                <w:szCs w:val="21"/>
                <w:highlight w:val="none"/>
                <w:lang w:val="en-US" w:eastAsia="zh-CN" w:bidi="ar"/>
              </w:rPr>
              <w:t>①是否已制定相应的业务管理制度，是否合法、合规；</w:t>
            </w:r>
          </w:p>
          <w:p>
            <w:pPr>
              <w:keepNext w:val="0"/>
              <w:keepLines w:val="0"/>
              <w:widowControl/>
              <w:suppressLineNumbers w:val="0"/>
              <w:jc w:val="left"/>
              <w:textAlignment w:val="center"/>
              <w:rPr>
                <w:rStyle w:val="19"/>
                <w:rFonts w:hint="default"/>
                <w:kern w:val="0"/>
                <w:sz w:val="21"/>
                <w:szCs w:val="21"/>
                <w:highlight w:val="none"/>
                <w:lang w:val="en-US" w:eastAsia="zh-CN" w:bidi="ar"/>
              </w:rPr>
            </w:pPr>
            <w:r>
              <w:rPr>
                <w:rStyle w:val="19"/>
                <w:rFonts w:hint="default"/>
                <w:kern w:val="0"/>
                <w:sz w:val="21"/>
                <w:szCs w:val="21"/>
                <w:highlight w:val="none"/>
                <w:lang w:val="en-US" w:eastAsia="zh-CN" w:bidi="ar"/>
              </w:rPr>
              <w:t>②业务管理制度是否完整、细化，包括采购管理规范、验收管理规范、合同管理规范等；</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Style w:val="19"/>
                <w:rFonts w:hint="default"/>
                <w:kern w:val="0"/>
                <w:sz w:val="21"/>
                <w:szCs w:val="21"/>
                <w:highlight w:val="none"/>
                <w:lang w:val="en-US" w:eastAsia="zh-CN" w:bidi="ar"/>
              </w:rPr>
              <w:t>③业务管理制度有管控机制，包括成本、进度、质量。</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val="en-US" w:eastAsia="zh-CN" w:bidi="ar"/>
              </w:rPr>
              <w:t>符合要点①，分别得2分；符合要点②③，得1分。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0"/>
                <w:szCs w:val="20"/>
                <w:highlight w:val="none"/>
                <w:u w:val="none"/>
                <w:lang w:val="en-US" w:eastAsia="zh-CN"/>
              </w:rPr>
            </w:pPr>
            <w:r>
              <w:rPr>
                <w:rFonts w:hint="eastAsia" w:ascii="宋体" w:hAnsi="宋体" w:cs="宋体"/>
                <w:b w:val="0"/>
                <w:bCs w:val="0"/>
                <w:i w:val="0"/>
                <w:color w:val="000000"/>
                <w:sz w:val="20"/>
                <w:szCs w:val="20"/>
                <w:highlight w:val="none"/>
                <w:u w:val="none"/>
                <w:lang w:val="en-US" w:eastAsia="zh-CN"/>
              </w:rPr>
              <w:t>4</w:t>
            </w:r>
          </w:p>
        </w:tc>
        <w:tc>
          <w:tcPr>
            <w:tcW w:w="5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r>
      <w:tr>
        <w:tblPrEx>
          <w:tblCellMar>
            <w:top w:w="0" w:type="dxa"/>
            <w:left w:w="0" w:type="dxa"/>
            <w:bottom w:w="0" w:type="dxa"/>
            <w:right w:w="0" w:type="dxa"/>
          </w:tblCellMar>
        </w:tblPrEx>
        <w:trPr>
          <w:trHeight w:val="2670" w:hRule="atLeast"/>
          <w:jc w:val="center"/>
        </w:trPr>
        <w:tc>
          <w:tcPr>
            <w:tcW w:w="329" w:type="pct"/>
            <w:vMerge w:val="restart"/>
            <w:tcBorders>
              <w:top w:val="single" w:color="auto" w:sz="4" w:space="0"/>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过程</w:t>
            </w:r>
          </w:p>
        </w:tc>
        <w:tc>
          <w:tcPr>
            <w:tcW w:w="190" w:type="pct"/>
            <w:vMerge w:val="restart"/>
            <w:tcBorders>
              <w:top w:val="single" w:color="auto" w:sz="4" w:space="0"/>
              <w:left w:val="single" w:color="000000"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35</w:t>
            </w:r>
          </w:p>
        </w:tc>
        <w:tc>
          <w:tcPr>
            <w:tcW w:w="368" w:type="pct"/>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续上页</w:t>
            </w:r>
          </w:p>
        </w:tc>
        <w:tc>
          <w:tcPr>
            <w:tcW w:w="176" w:type="pc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8</w:t>
            </w:r>
          </w:p>
        </w:tc>
        <w:tc>
          <w:tcPr>
            <w:tcW w:w="404" w:type="pc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财务制度</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健全性</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4</w:t>
            </w:r>
          </w:p>
        </w:tc>
        <w:tc>
          <w:tcPr>
            <w:tcW w:w="16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评价项目实施单位的财务管理制度是否健全，用以反映和考核其对项目实施的保障情况。</w:t>
            </w:r>
          </w:p>
          <w:p>
            <w:pPr>
              <w:keepNext w:val="0"/>
              <w:keepLines w:val="0"/>
              <w:widowControl/>
              <w:suppressLineNumbers w:val="0"/>
              <w:jc w:val="left"/>
              <w:textAlignment w:val="center"/>
              <w:rPr>
                <w:rStyle w:val="19"/>
                <w:rFonts w:hint="default"/>
                <w:b/>
                <w:bCs/>
                <w:sz w:val="21"/>
                <w:szCs w:val="21"/>
                <w:highlight w:val="none"/>
                <w:lang w:bidi="ar"/>
              </w:rPr>
            </w:pPr>
            <w:r>
              <w:rPr>
                <w:rStyle w:val="19"/>
                <w:rFonts w:hint="default"/>
                <w:b/>
                <w:bCs/>
                <w:sz w:val="21"/>
                <w:szCs w:val="21"/>
                <w:highlight w:val="none"/>
                <w:lang w:bidi="ar"/>
              </w:rPr>
              <w:t>评价要点：</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①是否已制定相应的财务管理制度，是否合法、合规；</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lang w:eastAsia="zh-CN"/>
              </w:rPr>
            </w:pPr>
            <w:r>
              <w:rPr>
                <w:rStyle w:val="19"/>
                <w:rFonts w:hint="default"/>
                <w:sz w:val="21"/>
                <w:szCs w:val="21"/>
                <w:highlight w:val="none"/>
                <w:lang w:bidi="ar"/>
              </w:rPr>
              <w:t>②财务管理制度是否健全，包括预算管理、收入管理、支出管理等内容</w:t>
            </w:r>
            <w:r>
              <w:rPr>
                <w:rStyle w:val="19"/>
                <w:rFonts w:hint="eastAsia"/>
                <w:sz w:val="21"/>
                <w:szCs w:val="21"/>
                <w:highlight w:val="none"/>
                <w:lang w:eastAsia="zh-CN" w:bidi="ar"/>
              </w:rPr>
              <w:t>。</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val="en-US" w:eastAsia="zh-CN" w:bidi="ar"/>
              </w:rPr>
              <w:t>每符合一项评价要点，得2分。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0"/>
                <w:szCs w:val="20"/>
                <w:highlight w:val="none"/>
                <w:u w:val="none"/>
                <w:lang w:val="en-US" w:eastAsia="zh-CN"/>
              </w:rPr>
            </w:pPr>
            <w:r>
              <w:rPr>
                <w:rFonts w:hint="eastAsia" w:ascii="宋体" w:hAnsi="宋体" w:cs="宋体"/>
                <w:b w:val="0"/>
                <w:bCs w:val="0"/>
                <w:i w:val="0"/>
                <w:color w:val="000000"/>
                <w:sz w:val="20"/>
                <w:szCs w:val="20"/>
                <w:highlight w:val="none"/>
                <w:u w:val="none"/>
                <w:lang w:val="en-US" w:eastAsia="zh-CN"/>
              </w:rPr>
              <w:t>2</w:t>
            </w:r>
          </w:p>
        </w:tc>
        <w:tc>
          <w:tcPr>
            <w:tcW w:w="5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sz w:val="20"/>
                <w:szCs w:val="20"/>
                <w:highlight w:val="none"/>
                <w:u w:val="none"/>
              </w:rPr>
              <w:t>财务凭证等相关材料存在缺失、不规范的情况，财政专项资金缺少2021年6月份前相关内容，科目摘要内容无法区分资金来源。</w:t>
            </w:r>
          </w:p>
        </w:tc>
      </w:tr>
      <w:tr>
        <w:tblPrEx>
          <w:tblCellMar>
            <w:top w:w="0" w:type="dxa"/>
            <w:left w:w="0" w:type="dxa"/>
            <w:bottom w:w="0" w:type="dxa"/>
            <w:right w:w="0" w:type="dxa"/>
          </w:tblCellMar>
        </w:tblPrEx>
        <w:trPr>
          <w:trHeight w:val="1219" w:hRule="atLeast"/>
          <w:jc w:val="center"/>
        </w:trPr>
        <w:tc>
          <w:tcPr>
            <w:tcW w:w="329" w:type="pct"/>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rPr>
            </w:pPr>
          </w:p>
        </w:tc>
        <w:tc>
          <w:tcPr>
            <w:tcW w:w="190" w:type="pct"/>
            <w:vMerge w:val="continue"/>
            <w:tcBorders>
              <w:left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rPr>
            </w:pPr>
          </w:p>
        </w:tc>
        <w:tc>
          <w:tcPr>
            <w:tcW w:w="368" w:type="pct"/>
            <w:vMerge w:val="restart"/>
            <w:tcBorders>
              <w:top w:val="single" w:color="auto" w:sz="4" w:space="0"/>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资金管理</w:t>
            </w:r>
          </w:p>
        </w:tc>
        <w:tc>
          <w:tcPr>
            <w:tcW w:w="176" w:type="pct"/>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14</w:t>
            </w:r>
          </w:p>
        </w:tc>
        <w:tc>
          <w:tcPr>
            <w:tcW w:w="404" w:type="pct"/>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资金到位率</w:t>
            </w:r>
          </w:p>
        </w:tc>
        <w:tc>
          <w:tcPr>
            <w:tcW w:w="201" w:type="pct"/>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5</w:t>
            </w:r>
          </w:p>
        </w:tc>
        <w:tc>
          <w:tcPr>
            <w:tcW w:w="1688"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评价项目实际到位资金与债券投入资金的比率。</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bidi="ar"/>
              </w:rPr>
              <w:t>资金到位率=（实际到位资金/债券投入资金）×100%。</w:t>
            </w:r>
          </w:p>
        </w:tc>
        <w:tc>
          <w:tcPr>
            <w:tcW w:w="849"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得分=资金到位率×指标分值。</w:t>
            </w:r>
          </w:p>
        </w:tc>
        <w:tc>
          <w:tcPr>
            <w:tcW w:w="222" w:type="pct"/>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0"/>
                <w:szCs w:val="20"/>
                <w:highlight w:val="none"/>
                <w:u w:val="none"/>
                <w:lang w:val="en-US" w:eastAsia="zh-CN"/>
              </w:rPr>
            </w:pPr>
            <w:r>
              <w:rPr>
                <w:rFonts w:hint="eastAsia" w:ascii="宋体" w:hAnsi="宋体" w:cs="宋体"/>
                <w:b w:val="0"/>
                <w:bCs w:val="0"/>
                <w:i w:val="0"/>
                <w:color w:val="000000"/>
                <w:sz w:val="20"/>
                <w:szCs w:val="20"/>
                <w:highlight w:val="none"/>
                <w:u w:val="none"/>
                <w:lang w:val="en-US" w:eastAsia="zh-CN"/>
              </w:rPr>
              <w:t>5</w:t>
            </w:r>
          </w:p>
        </w:tc>
        <w:tc>
          <w:tcPr>
            <w:tcW w:w="568"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kern w:val="0"/>
                <w:sz w:val="20"/>
                <w:szCs w:val="20"/>
                <w:highlight w:val="none"/>
                <w:u w:val="none"/>
                <w:lang w:val="en-US" w:eastAsia="zh-CN" w:bidi="ar"/>
              </w:rPr>
              <w:t>-</w:t>
            </w:r>
          </w:p>
        </w:tc>
      </w:tr>
      <w:tr>
        <w:tblPrEx>
          <w:tblCellMar>
            <w:top w:w="0" w:type="dxa"/>
            <w:left w:w="0" w:type="dxa"/>
            <w:bottom w:w="0" w:type="dxa"/>
            <w:right w:w="0" w:type="dxa"/>
          </w:tblCellMar>
        </w:tblPrEx>
        <w:trPr>
          <w:trHeight w:val="1077" w:hRule="atLeast"/>
          <w:jc w:val="center"/>
        </w:trPr>
        <w:tc>
          <w:tcPr>
            <w:tcW w:w="329" w:type="pct"/>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lang w:eastAsia="zh-CN"/>
              </w:rPr>
            </w:pPr>
          </w:p>
        </w:tc>
        <w:tc>
          <w:tcPr>
            <w:tcW w:w="190" w:type="pct"/>
            <w:vMerge w:val="continue"/>
            <w:tcBorders>
              <w:left w:val="single" w:color="000000"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368" w:type="pct"/>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p>
        </w:tc>
        <w:tc>
          <w:tcPr>
            <w:tcW w:w="176" w:type="pct"/>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资金支出</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进度</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5</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评价项目资金支出金额与债券资金的比率。</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bidi="ar"/>
              </w:rPr>
              <w:t>资金支出进度=（实际支出金额/债券资金使用金额）×100%。</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bidi="ar"/>
              </w:rPr>
              <w:t>得分=资金支出进度×指标分值。</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0"/>
                <w:szCs w:val="20"/>
                <w:highlight w:val="none"/>
                <w:u w:val="none"/>
                <w:lang w:val="en-US" w:eastAsia="zh-CN"/>
              </w:rPr>
            </w:pPr>
            <w:r>
              <w:rPr>
                <w:rFonts w:hint="eastAsia" w:ascii="宋体" w:hAnsi="宋体" w:cs="宋体"/>
                <w:b w:val="0"/>
                <w:bCs w:val="0"/>
                <w:i w:val="0"/>
                <w:color w:val="000000"/>
                <w:sz w:val="20"/>
                <w:szCs w:val="20"/>
                <w:highlight w:val="none"/>
                <w:u w:val="none"/>
                <w:lang w:val="en-US" w:eastAsia="zh-CN"/>
              </w:rPr>
              <w:t>5</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kern w:val="0"/>
                <w:sz w:val="20"/>
                <w:szCs w:val="20"/>
                <w:highlight w:val="none"/>
                <w:u w:val="none"/>
                <w:lang w:val="en-US" w:eastAsia="zh-CN" w:bidi="ar"/>
              </w:rPr>
              <w:t>-</w:t>
            </w:r>
          </w:p>
        </w:tc>
      </w:tr>
      <w:tr>
        <w:tblPrEx>
          <w:tblCellMar>
            <w:top w:w="0" w:type="dxa"/>
            <w:left w:w="0" w:type="dxa"/>
            <w:bottom w:w="0" w:type="dxa"/>
            <w:right w:w="0" w:type="dxa"/>
          </w:tblCellMar>
        </w:tblPrEx>
        <w:trPr>
          <w:trHeight w:val="2679" w:hRule="atLeast"/>
          <w:jc w:val="center"/>
        </w:trPr>
        <w:tc>
          <w:tcPr>
            <w:tcW w:w="329" w:type="pct"/>
            <w:vMerge w:val="continue"/>
            <w:tcBorders>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rPr>
            </w:pPr>
          </w:p>
        </w:tc>
        <w:tc>
          <w:tcPr>
            <w:tcW w:w="190" w:type="pct"/>
            <w:vMerge w:val="continue"/>
            <w:tcBorders>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rPr>
            </w:pPr>
          </w:p>
        </w:tc>
        <w:tc>
          <w:tcPr>
            <w:tcW w:w="368" w:type="pct"/>
            <w:vMerge w:val="continue"/>
            <w:tcBorders>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rPr>
            </w:pPr>
          </w:p>
        </w:tc>
        <w:tc>
          <w:tcPr>
            <w:tcW w:w="176" w:type="pct"/>
            <w:vMerge w:val="continue"/>
            <w:tcBorders>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资金使用</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合规性</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4</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评价债券资金使用流程方面是否合法合规，是否存在挤占、挪用、截留等情况。</w:t>
            </w:r>
          </w:p>
          <w:p>
            <w:pPr>
              <w:keepNext w:val="0"/>
              <w:keepLines w:val="0"/>
              <w:widowControl/>
              <w:suppressLineNumbers w:val="0"/>
              <w:jc w:val="left"/>
              <w:textAlignment w:val="center"/>
              <w:rPr>
                <w:rStyle w:val="19"/>
                <w:rFonts w:hint="default"/>
                <w:b/>
                <w:bCs/>
                <w:sz w:val="21"/>
                <w:szCs w:val="21"/>
                <w:highlight w:val="none"/>
                <w:lang w:bidi="ar"/>
              </w:rPr>
            </w:pPr>
            <w:r>
              <w:rPr>
                <w:rStyle w:val="19"/>
                <w:rFonts w:hint="default"/>
                <w:b/>
                <w:bCs/>
                <w:sz w:val="21"/>
                <w:szCs w:val="21"/>
                <w:highlight w:val="none"/>
                <w:lang w:bidi="ar"/>
              </w:rPr>
              <w:t>评价要点：</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①是否符合国家财经法规和财务管理制度以及有关专项资金管理办法的规定；</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②资金的拨付是否有完整的审批程序和手续；</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③是否符合项目预算批复或合同规定的用途；</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Style w:val="19"/>
                <w:rFonts w:hint="default"/>
                <w:sz w:val="21"/>
                <w:szCs w:val="21"/>
                <w:highlight w:val="none"/>
                <w:lang w:bidi="ar"/>
              </w:rPr>
              <w:t>④是否存在截留、挤占、挪用、虚列支出等情况。</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val="en-US" w:eastAsia="zh-CN" w:bidi="ar"/>
              </w:rPr>
              <w:t>每符合一项评价要点，得1分。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0"/>
                <w:szCs w:val="20"/>
                <w:highlight w:val="none"/>
                <w:u w:val="none"/>
                <w:lang w:val="en-US" w:eastAsia="zh-CN"/>
              </w:rPr>
            </w:pPr>
            <w:r>
              <w:rPr>
                <w:rFonts w:hint="eastAsia" w:ascii="宋体" w:hAnsi="宋体" w:cs="宋体"/>
                <w:b w:val="0"/>
                <w:bCs w:val="0"/>
                <w:i w:val="0"/>
                <w:color w:val="000000"/>
                <w:sz w:val="20"/>
                <w:szCs w:val="20"/>
                <w:highlight w:val="none"/>
                <w:u w:val="none"/>
                <w:lang w:val="en-US" w:eastAsia="zh-CN"/>
              </w:rPr>
              <w:t>4</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r>
      <w:tr>
        <w:tblPrEx>
          <w:tblCellMar>
            <w:top w:w="0" w:type="dxa"/>
            <w:left w:w="0" w:type="dxa"/>
            <w:bottom w:w="0" w:type="dxa"/>
            <w:right w:w="0" w:type="dxa"/>
          </w:tblCellMar>
        </w:tblPrEx>
        <w:trPr>
          <w:trHeight w:val="2765" w:hRule="atLeast"/>
          <w:jc w:val="center"/>
        </w:trPr>
        <w:tc>
          <w:tcPr>
            <w:tcW w:w="329"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过程</w:t>
            </w:r>
          </w:p>
        </w:tc>
        <w:tc>
          <w:tcPr>
            <w:tcW w:w="190"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35</w:t>
            </w:r>
          </w:p>
        </w:tc>
        <w:tc>
          <w:tcPr>
            <w:tcW w:w="368"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项目管理</w:t>
            </w:r>
          </w:p>
        </w:tc>
        <w:tc>
          <w:tcPr>
            <w:tcW w:w="176"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13</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合同管理</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规范性</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4</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评价项目实施单位是否按照规定与项目参与单位签订相关履约合同。</w:t>
            </w:r>
          </w:p>
          <w:p>
            <w:pPr>
              <w:keepNext w:val="0"/>
              <w:keepLines w:val="0"/>
              <w:widowControl/>
              <w:suppressLineNumbers w:val="0"/>
              <w:jc w:val="left"/>
              <w:textAlignment w:val="center"/>
              <w:rPr>
                <w:rStyle w:val="19"/>
                <w:rFonts w:hint="default"/>
                <w:b/>
                <w:bCs/>
                <w:sz w:val="21"/>
                <w:szCs w:val="21"/>
                <w:highlight w:val="none"/>
                <w:lang w:bidi="ar"/>
              </w:rPr>
            </w:pPr>
            <w:r>
              <w:rPr>
                <w:rStyle w:val="19"/>
                <w:rFonts w:hint="default"/>
                <w:b/>
                <w:bCs/>
                <w:sz w:val="21"/>
                <w:szCs w:val="21"/>
                <w:highlight w:val="none"/>
                <w:lang w:bidi="ar"/>
              </w:rPr>
              <w:t>评价要点：</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①是否与参与单位签订相关合同，真实有效，合法、合规；</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②合同内容是否完整，包括甲乙方、履约内容、交付金额、完成时间、签约时间等内容；</w:t>
            </w:r>
          </w:p>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lang w:eastAsia="zh-CN"/>
              </w:rPr>
            </w:pPr>
            <w:r>
              <w:rPr>
                <w:rStyle w:val="19"/>
                <w:rFonts w:hint="default"/>
                <w:sz w:val="21"/>
                <w:szCs w:val="21"/>
                <w:highlight w:val="none"/>
                <w:lang w:bidi="ar"/>
              </w:rPr>
              <w:t>③合同内容是否规范，无遗漏或篡改部分</w:t>
            </w:r>
            <w:r>
              <w:rPr>
                <w:rStyle w:val="19"/>
                <w:rFonts w:hint="eastAsia"/>
                <w:sz w:val="21"/>
                <w:szCs w:val="21"/>
                <w:highlight w:val="none"/>
                <w:lang w:eastAsia="zh-CN" w:bidi="ar"/>
              </w:rPr>
              <w:t>。</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color w:val="000000"/>
                <w:kern w:val="0"/>
                <w:sz w:val="21"/>
                <w:szCs w:val="21"/>
                <w:highlight w:val="none"/>
                <w:lang w:val="en-US" w:eastAsia="zh-CN" w:bidi="ar"/>
              </w:rPr>
              <w:t>符合要点①，分别得2分；符合要点②③，得1分。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0"/>
                <w:szCs w:val="20"/>
                <w:highlight w:val="none"/>
                <w:u w:val="none"/>
                <w:lang w:val="en-US" w:eastAsia="zh-CN"/>
              </w:rPr>
            </w:pPr>
            <w:r>
              <w:rPr>
                <w:rFonts w:hint="eastAsia" w:ascii="宋体" w:hAnsi="宋体" w:cs="宋体"/>
                <w:b w:val="0"/>
                <w:bCs w:val="0"/>
                <w:i w:val="0"/>
                <w:color w:val="000000"/>
                <w:sz w:val="20"/>
                <w:szCs w:val="20"/>
                <w:highlight w:val="none"/>
                <w:u w:val="none"/>
                <w:lang w:val="en-US" w:eastAsia="zh-CN"/>
              </w:rPr>
              <w:t>2</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sz w:val="20"/>
                <w:szCs w:val="20"/>
                <w:highlight w:val="none"/>
                <w:u w:val="none"/>
                <w:lang w:val="en-US" w:eastAsia="zh-CN"/>
              </w:rPr>
              <w:t>建设工程施工合同</w:t>
            </w:r>
            <w:r>
              <w:rPr>
                <w:rFonts w:hint="eastAsia" w:ascii="宋体" w:hAnsi="宋体" w:eastAsia="宋体" w:cs="宋体"/>
                <w:i w:val="0"/>
                <w:color w:val="000000"/>
                <w:sz w:val="20"/>
                <w:szCs w:val="20"/>
                <w:highlight w:val="none"/>
                <w:u w:val="none"/>
              </w:rPr>
              <w:t>缺少工程进度款支付有关内容和签约时间。</w:t>
            </w:r>
          </w:p>
        </w:tc>
      </w:tr>
      <w:tr>
        <w:tblPrEx>
          <w:shd w:val="clear" w:color="auto" w:fill="auto"/>
          <w:tblCellMar>
            <w:top w:w="0" w:type="dxa"/>
            <w:left w:w="0" w:type="dxa"/>
            <w:bottom w:w="0" w:type="dxa"/>
            <w:right w:w="0" w:type="dxa"/>
          </w:tblCellMar>
        </w:tblPrEx>
        <w:trPr>
          <w:trHeight w:val="2853" w:hRule="atLeast"/>
          <w:jc w:val="center"/>
        </w:trPr>
        <w:tc>
          <w:tcPr>
            <w:tcW w:w="329"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190"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368"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176"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lang w:val="en-US" w:eastAsia="zh-CN"/>
              </w:rPr>
            </w:pP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项目实施</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规范性</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5</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评价项目实施单位是否全程参与项目，保障项目按照实施计划完成。</w:t>
            </w:r>
          </w:p>
          <w:p>
            <w:pPr>
              <w:keepNext w:val="0"/>
              <w:keepLines w:val="0"/>
              <w:widowControl/>
              <w:suppressLineNumbers w:val="0"/>
              <w:jc w:val="left"/>
              <w:textAlignment w:val="center"/>
              <w:rPr>
                <w:rStyle w:val="19"/>
                <w:rFonts w:hint="default"/>
                <w:b/>
                <w:bCs/>
                <w:sz w:val="21"/>
                <w:szCs w:val="21"/>
                <w:highlight w:val="none"/>
                <w:lang w:bidi="ar"/>
              </w:rPr>
            </w:pPr>
            <w:r>
              <w:rPr>
                <w:rStyle w:val="19"/>
                <w:rFonts w:hint="default"/>
                <w:b/>
                <w:bCs/>
                <w:sz w:val="21"/>
                <w:szCs w:val="21"/>
                <w:highlight w:val="none"/>
                <w:lang w:bidi="ar"/>
              </w:rPr>
              <w:t>评价要点：</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①是否派熟悉业务的工作人员全程跟踪管理项目；</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②是否制定项目实施方案，各项工作任务是否有明确时间节点；</w:t>
            </w:r>
          </w:p>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Style w:val="19"/>
                <w:rFonts w:hint="default"/>
                <w:sz w:val="21"/>
                <w:szCs w:val="21"/>
                <w:highlight w:val="none"/>
                <w:lang w:bidi="ar"/>
              </w:rPr>
              <w:t>③实施过程中是否项目风险、质量和进度进行合理控制</w:t>
            </w:r>
            <w:r>
              <w:rPr>
                <w:rStyle w:val="19"/>
                <w:rFonts w:hint="eastAsia"/>
                <w:sz w:val="21"/>
                <w:szCs w:val="21"/>
                <w:highlight w:val="none"/>
                <w:lang w:eastAsia="zh-CN" w:bidi="ar"/>
              </w:rPr>
              <w:t>。</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color w:val="000000"/>
                <w:kern w:val="0"/>
                <w:sz w:val="21"/>
                <w:szCs w:val="21"/>
                <w:highlight w:val="none"/>
                <w:lang w:val="en-US" w:eastAsia="zh-CN" w:bidi="ar"/>
              </w:rPr>
              <w:t>符合要点①，得2分；符合要点②③，分别得1.5分。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0"/>
                <w:szCs w:val="20"/>
                <w:highlight w:val="none"/>
                <w:u w:val="none"/>
                <w:lang w:val="en-US" w:eastAsia="zh-CN" w:bidi="ar"/>
              </w:rPr>
            </w:pPr>
            <w:r>
              <w:rPr>
                <w:rFonts w:hint="eastAsia" w:ascii="宋体" w:hAnsi="宋体" w:cs="宋体"/>
                <w:b w:val="0"/>
                <w:bCs w:val="0"/>
                <w:i w:val="0"/>
                <w:color w:val="000000"/>
                <w:kern w:val="0"/>
                <w:sz w:val="20"/>
                <w:szCs w:val="20"/>
                <w:highlight w:val="none"/>
                <w:u w:val="none"/>
                <w:lang w:val="en-US" w:eastAsia="zh-CN" w:bidi="ar"/>
              </w:rPr>
              <w:t>5</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CellMar>
            <w:top w:w="0" w:type="dxa"/>
            <w:left w:w="0" w:type="dxa"/>
            <w:bottom w:w="0" w:type="dxa"/>
            <w:right w:w="0" w:type="dxa"/>
          </w:tblCellMar>
        </w:tblPrEx>
        <w:trPr>
          <w:trHeight w:val="1940" w:hRule="atLeast"/>
          <w:jc w:val="center"/>
        </w:trPr>
        <w:tc>
          <w:tcPr>
            <w:tcW w:w="329"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190"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368"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0"/>
                <w:szCs w:val="20"/>
                <w:highlight w:val="yellow"/>
                <w:u w:val="none"/>
                <w:lang w:val="en-US" w:eastAsia="zh-CN"/>
              </w:rPr>
            </w:pPr>
          </w:p>
        </w:tc>
        <w:tc>
          <w:tcPr>
            <w:tcW w:w="176"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highlight w:val="yellow"/>
                <w:u w:val="none"/>
                <w:lang w:val="en-US" w:eastAsia="zh-CN"/>
              </w:rPr>
            </w:pP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项目验收</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规范性</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4</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评价项目履约验收程序是否按照本溪市相关政策或法律法规开展。</w:t>
            </w:r>
          </w:p>
          <w:p>
            <w:pPr>
              <w:keepNext w:val="0"/>
              <w:keepLines w:val="0"/>
              <w:widowControl/>
              <w:suppressLineNumbers w:val="0"/>
              <w:jc w:val="left"/>
              <w:textAlignment w:val="center"/>
              <w:rPr>
                <w:rStyle w:val="19"/>
                <w:rFonts w:hint="default"/>
                <w:b/>
                <w:bCs/>
                <w:sz w:val="21"/>
                <w:szCs w:val="21"/>
                <w:highlight w:val="none"/>
                <w:lang w:bidi="ar"/>
              </w:rPr>
            </w:pPr>
            <w:r>
              <w:rPr>
                <w:rStyle w:val="19"/>
                <w:rFonts w:hint="default"/>
                <w:b/>
                <w:bCs/>
                <w:sz w:val="21"/>
                <w:szCs w:val="21"/>
                <w:highlight w:val="none"/>
                <w:lang w:bidi="ar"/>
              </w:rPr>
              <w:t>评价要点：</w:t>
            </w:r>
          </w:p>
          <w:p>
            <w:pPr>
              <w:keepNext w:val="0"/>
              <w:keepLines w:val="0"/>
              <w:widowControl/>
              <w:suppressLineNumbers w:val="0"/>
              <w:jc w:val="left"/>
              <w:textAlignment w:val="center"/>
              <w:rPr>
                <w:rStyle w:val="19"/>
                <w:rFonts w:hint="default"/>
                <w:sz w:val="21"/>
                <w:szCs w:val="21"/>
                <w:highlight w:val="none"/>
                <w:lang w:bidi="ar"/>
              </w:rPr>
            </w:pPr>
            <w:r>
              <w:rPr>
                <w:rStyle w:val="19"/>
                <w:rFonts w:hint="default"/>
                <w:sz w:val="21"/>
                <w:szCs w:val="21"/>
                <w:highlight w:val="none"/>
                <w:lang w:bidi="ar"/>
              </w:rPr>
              <w:t>①履约验收程序是否符合相关政策或法律规定；</w:t>
            </w:r>
          </w:p>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Style w:val="19"/>
                <w:rFonts w:hint="default"/>
                <w:sz w:val="21"/>
                <w:szCs w:val="21"/>
                <w:highlight w:val="none"/>
                <w:lang w:bidi="ar"/>
              </w:rPr>
              <w:t>②项目验收相关材料是否齐全、完整。</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color w:val="000000"/>
                <w:kern w:val="0"/>
                <w:sz w:val="21"/>
                <w:szCs w:val="21"/>
                <w:highlight w:val="none"/>
                <w:lang w:val="en-US" w:eastAsia="zh-CN" w:bidi="ar"/>
              </w:rPr>
              <w:t>每符合一项评价要点，得2分。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0"/>
                <w:szCs w:val="20"/>
                <w:highlight w:val="none"/>
                <w:u w:val="none"/>
                <w:lang w:val="en-US" w:eastAsia="zh-CN" w:bidi="ar"/>
              </w:rPr>
            </w:pPr>
            <w:r>
              <w:rPr>
                <w:rFonts w:hint="eastAsia" w:ascii="宋体" w:hAnsi="宋体" w:cs="宋体"/>
                <w:b w:val="0"/>
                <w:bCs w:val="0"/>
                <w:i w:val="0"/>
                <w:color w:val="000000"/>
                <w:kern w:val="0"/>
                <w:sz w:val="20"/>
                <w:szCs w:val="20"/>
                <w:highlight w:val="none"/>
                <w:u w:val="none"/>
                <w:lang w:val="en-US" w:eastAsia="zh-CN" w:bidi="ar"/>
              </w:rPr>
              <w:t>4</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CellMar>
            <w:top w:w="0" w:type="dxa"/>
            <w:left w:w="0" w:type="dxa"/>
            <w:bottom w:w="0" w:type="dxa"/>
            <w:right w:w="0" w:type="dxa"/>
          </w:tblCellMar>
        </w:tblPrEx>
        <w:trPr>
          <w:trHeight w:val="936" w:hRule="atLeast"/>
          <w:jc w:val="center"/>
        </w:trPr>
        <w:tc>
          <w:tcPr>
            <w:tcW w:w="329"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产出</w:t>
            </w:r>
          </w:p>
        </w:tc>
        <w:tc>
          <w:tcPr>
            <w:tcW w:w="190"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25</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color w:val="auto"/>
                <w:sz w:val="21"/>
                <w:szCs w:val="21"/>
                <w:highlight w:val="none"/>
                <w:lang w:val="en-US" w:eastAsia="zh-CN"/>
              </w:rPr>
              <w:t>产出数量</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5</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学校建设</w:t>
            </w:r>
          </w:p>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情况</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highlight w:val="none"/>
                <w:u w:val="none"/>
              </w:rPr>
            </w:pPr>
            <w:r>
              <w:rPr>
                <w:rFonts w:hint="eastAsia" w:ascii="宋体" w:hAnsi="宋体" w:cs="宋体"/>
                <w:color w:val="000000"/>
                <w:sz w:val="21"/>
                <w:szCs w:val="21"/>
                <w:highlight w:val="none"/>
                <w:lang w:val="en-US" w:eastAsia="zh-CN"/>
              </w:rPr>
              <w:t>评价项目单位建设学校整体情况。</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highlight w:val="none"/>
                <w:u w:val="none"/>
              </w:rPr>
            </w:pPr>
            <w:r>
              <w:rPr>
                <w:rFonts w:hint="eastAsia" w:ascii="宋体" w:hAnsi="宋体" w:cs="宋体"/>
                <w:color w:val="000000"/>
                <w:sz w:val="21"/>
                <w:szCs w:val="21"/>
                <w:highlight w:val="none"/>
                <w:lang w:val="en-US" w:eastAsia="zh-CN"/>
              </w:rPr>
              <w:t>完成所有主体建筑，得满分；否则，不得分。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0"/>
                <w:szCs w:val="20"/>
                <w:highlight w:val="none"/>
                <w:u w:val="none"/>
                <w:lang w:val="en-US" w:eastAsia="zh-CN"/>
              </w:rPr>
            </w:pPr>
            <w:r>
              <w:rPr>
                <w:rFonts w:hint="eastAsia" w:ascii="宋体" w:hAnsi="宋体" w:cs="宋体"/>
                <w:b w:val="0"/>
                <w:bCs w:val="0"/>
                <w:i w:val="0"/>
                <w:color w:val="auto"/>
                <w:sz w:val="20"/>
                <w:szCs w:val="20"/>
                <w:highlight w:val="none"/>
                <w:u w:val="none"/>
                <w:lang w:val="en-US" w:eastAsia="zh-CN"/>
              </w:rPr>
              <w:t>5</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FF000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bidi="ar"/>
              </w:rPr>
              <w:t>-</w:t>
            </w:r>
          </w:p>
        </w:tc>
      </w:tr>
      <w:tr>
        <w:tblPrEx>
          <w:tblCellMar>
            <w:top w:w="0" w:type="dxa"/>
            <w:left w:w="0" w:type="dxa"/>
            <w:bottom w:w="0" w:type="dxa"/>
            <w:right w:w="0" w:type="dxa"/>
          </w:tblCellMar>
        </w:tblPrEx>
        <w:trPr>
          <w:trHeight w:val="2322" w:hRule="atLeast"/>
          <w:jc w:val="center"/>
        </w:trPr>
        <w:tc>
          <w:tcPr>
            <w:tcW w:w="329"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0"/>
                <w:szCs w:val="20"/>
                <w:highlight w:val="yellow"/>
                <w:u w:val="none"/>
                <w:lang w:val="en-US" w:eastAsia="zh-CN"/>
              </w:rPr>
            </w:pPr>
          </w:p>
        </w:tc>
        <w:tc>
          <w:tcPr>
            <w:tcW w:w="190"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0"/>
                <w:szCs w:val="20"/>
                <w:highlight w:val="yellow"/>
                <w:u w:val="none"/>
                <w:lang w:val="en-US" w:eastAsia="zh-CN"/>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产出质量</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5</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项目验收</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合格率</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sz w:val="21"/>
                <w:szCs w:val="21"/>
                <w:highlight w:val="none"/>
                <w:lang w:val="en-US" w:eastAsia="zh-CN"/>
              </w:rPr>
              <w:t>评价项目整体验收情况。</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sz w:val="21"/>
                <w:szCs w:val="21"/>
                <w:highlight w:val="none"/>
                <w:lang w:val="en-US" w:eastAsia="zh-CN"/>
              </w:rPr>
              <w:t>项目完成验收，得满分；验收出现延期，扣3分；未进行验收，不得分。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0"/>
                <w:szCs w:val="20"/>
                <w:highlight w:val="none"/>
                <w:u w:val="none"/>
                <w:lang w:val="en-US" w:eastAsia="zh-CN"/>
              </w:rPr>
            </w:pPr>
            <w:r>
              <w:rPr>
                <w:rFonts w:hint="eastAsia" w:ascii="宋体" w:hAnsi="宋体" w:cs="宋体"/>
                <w:b w:val="0"/>
                <w:bCs w:val="0"/>
                <w:i w:val="0"/>
                <w:color w:val="auto"/>
                <w:sz w:val="20"/>
                <w:szCs w:val="20"/>
                <w:highlight w:val="none"/>
                <w:u w:val="none"/>
                <w:lang w:val="en-US" w:eastAsia="zh-CN"/>
              </w:rPr>
              <w:t>2</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尚未完成项目整体验收工作，消防验收仍处于整改阶段，其它部分验收工作已完成或已上报验收材料待审核阶段。</w:t>
            </w:r>
          </w:p>
        </w:tc>
      </w:tr>
      <w:tr>
        <w:tblPrEx>
          <w:tblCellMar>
            <w:top w:w="0" w:type="dxa"/>
            <w:left w:w="0" w:type="dxa"/>
            <w:bottom w:w="0" w:type="dxa"/>
            <w:right w:w="0" w:type="dxa"/>
          </w:tblCellMar>
        </w:tblPrEx>
        <w:trPr>
          <w:trHeight w:val="1699" w:hRule="atLeast"/>
          <w:jc w:val="center"/>
        </w:trPr>
        <w:tc>
          <w:tcPr>
            <w:tcW w:w="329"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0"/>
                <w:szCs w:val="20"/>
                <w:highlight w:val="yellow"/>
                <w:u w:val="none"/>
              </w:rPr>
            </w:pPr>
          </w:p>
        </w:tc>
        <w:tc>
          <w:tcPr>
            <w:tcW w:w="190"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0"/>
                <w:szCs w:val="20"/>
                <w:highlight w:val="yellow"/>
                <w:u w:val="none"/>
              </w:rPr>
            </w:pPr>
          </w:p>
        </w:tc>
        <w:tc>
          <w:tcPr>
            <w:tcW w:w="368"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产出时效</w:t>
            </w:r>
          </w:p>
        </w:tc>
        <w:tc>
          <w:tcPr>
            <w:tcW w:w="176"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10</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资金拨付</w:t>
            </w:r>
          </w:p>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及时性</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5</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color w:val="auto"/>
                <w:sz w:val="21"/>
                <w:szCs w:val="21"/>
                <w:highlight w:val="none"/>
                <w:lang w:val="en-US" w:eastAsia="zh-CN"/>
              </w:rPr>
              <w:t>评价资金是否及时拨付给项目参与单位。</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sz w:val="21"/>
                <w:szCs w:val="21"/>
                <w:highlight w:val="none"/>
                <w:lang w:val="en-US" w:eastAsia="zh-CN"/>
              </w:rPr>
              <w:t>资金拨付及时到位，满分；资金拨付三个月以上，得3分；资金拨付半年以上，不得分。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0"/>
                <w:szCs w:val="20"/>
                <w:highlight w:val="none"/>
                <w:u w:val="none"/>
                <w:lang w:val="en-US" w:eastAsia="zh-CN" w:bidi="ar"/>
              </w:rPr>
            </w:pPr>
            <w:r>
              <w:rPr>
                <w:rFonts w:hint="eastAsia" w:ascii="宋体" w:hAnsi="宋体" w:cs="宋体"/>
                <w:b w:val="0"/>
                <w:bCs w:val="0"/>
                <w:i w:val="0"/>
                <w:color w:val="auto"/>
                <w:kern w:val="0"/>
                <w:sz w:val="20"/>
                <w:szCs w:val="20"/>
                <w:highlight w:val="none"/>
                <w:u w:val="none"/>
                <w:lang w:val="en-US" w:eastAsia="zh-CN" w:bidi="ar"/>
              </w:rPr>
              <w:t>0</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工程施工前期，由于财政资金紧张长期不到位，导致工程款结算时间长达四至六个月。</w:t>
            </w:r>
          </w:p>
        </w:tc>
      </w:tr>
      <w:tr>
        <w:tblPrEx>
          <w:tblCellMar>
            <w:top w:w="0" w:type="dxa"/>
            <w:left w:w="0" w:type="dxa"/>
            <w:bottom w:w="0" w:type="dxa"/>
            <w:right w:w="0" w:type="dxa"/>
          </w:tblCellMar>
        </w:tblPrEx>
        <w:trPr>
          <w:trHeight w:val="90" w:hRule="atLeast"/>
          <w:jc w:val="center"/>
        </w:trPr>
        <w:tc>
          <w:tcPr>
            <w:tcW w:w="329"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190"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368"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yellow"/>
                <w:u w:val="none"/>
              </w:rPr>
            </w:pPr>
          </w:p>
        </w:tc>
        <w:tc>
          <w:tcPr>
            <w:tcW w:w="176"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yellow"/>
                <w:u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项目完工</w:t>
            </w:r>
          </w:p>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及时性</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sz w:val="21"/>
                <w:szCs w:val="21"/>
                <w:highlight w:val="none"/>
                <w:lang w:val="en-US" w:eastAsia="zh-CN"/>
              </w:rPr>
              <w:t>评价项目实施是否按时完工。</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sz w:val="21"/>
                <w:szCs w:val="21"/>
                <w:highlight w:val="none"/>
                <w:lang w:val="en-US" w:eastAsia="zh-CN"/>
              </w:rPr>
              <w:t>项目完工工期未延期，得满分；延期三个月，扣3分；延期半年以上，不得分。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0"/>
                <w:szCs w:val="20"/>
                <w:highlight w:val="none"/>
                <w:u w:val="none"/>
                <w:lang w:val="en-US" w:eastAsia="zh-CN"/>
              </w:rPr>
            </w:pPr>
            <w:r>
              <w:rPr>
                <w:rFonts w:hint="eastAsia" w:ascii="宋体" w:hAnsi="宋体" w:cs="宋体"/>
                <w:b w:val="0"/>
                <w:bCs w:val="0"/>
                <w:i w:val="0"/>
                <w:color w:val="auto"/>
                <w:sz w:val="20"/>
                <w:szCs w:val="20"/>
                <w:highlight w:val="none"/>
                <w:u w:val="none"/>
                <w:lang w:val="en-US" w:eastAsia="zh-CN"/>
              </w:rPr>
              <w:t>5</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r>
      <w:tr>
        <w:tblPrEx>
          <w:tblCellMar>
            <w:top w:w="0" w:type="dxa"/>
            <w:left w:w="0" w:type="dxa"/>
            <w:bottom w:w="0" w:type="dxa"/>
            <w:right w:w="0" w:type="dxa"/>
          </w:tblCellMar>
        </w:tblPrEx>
        <w:trPr>
          <w:trHeight w:val="1463" w:hRule="atLeast"/>
          <w:jc w:val="center"/>
        </w:trPr>
        <w:tc>
          <w:tcPr>
            <w:tcW w:w="329"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190" w:type="pct"/>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产出成本</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5</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成本控制</w:t>
            </w:r>
          </w:p>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情况</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5</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color w:val="auto"/>
                <w:kern w:val="0"/>
                <w:sz w:val="21"/>
                <w:szCs w:val="21"/>
                <w:highlight w:val="none"/>
                <w:lang w:val="en-US" w:eastAsia="zh-CN" w:bidi="ar"/>
              </w:rPr>
              <w:t>评价项目成本控制情况。</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sz w:val="21"/>
                <w:szCs w:val="21"/>
                <w:highlight w:val="none"/>
                <w:lang w:val="en-US" w:eastAsia="zh-CN"/>
              </w:rPr>
              <w:t>得分=项目决算/项目预算*100%；项目决算＞项目预算，不得分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0"/>
                <w:szCs w:val="20"/>
                <w:highlight w:val="none"/>
                <w:u w:val="none"/>
                <w:lang w:val="en-US" w:eastAsia="zh-CN" w:bidi="ar"/>
              </w:rPr>
            </w:pPr>
            <w:r>
              <w:rPr>
                <w:rFonts w:hint="eastAsia" w:ascii="宋体" w:hAnsi="宋体" w:cs="宋体"/>
                <w:b w:val="0"/>
                <w:bCs w:val="0"/>
                <w:i w:val="0"/>
                <w:color w:val="auto"/>
                <w:kern w:val="0"/>
                <w:sz w:val="20"/>
                <w:szCs w:val="20"/>
                <w:highlight w:val="none"/>
                <w:u w:val="none"/>
                <w:lang w:val="en-US" w:eastAsia="zh-CN" w:bidi="ar"/>
              </w:rPr>
              <w:t>4</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尚未完成决算工作</w:t>
            </w:r>
            <w:r>
              <w:rPr>
                <w:rFonts w:hint="eastAsia" w:ascii="宋体" w:hAnsi="宋体" w:cs="宋体"/>
                <w:i w:val="0"/>
                <w:color w:val="auto"/>
                <w:kern w:val="0"/>
                <w:sz w:val="20"/>
                <w:szCs w:val="20"/>
                <w:highlight w:val="none"/>
                <w:u w:val="none"/>
                <w:lang w:val="en-US" w:eastAsia="zh-CN" w:bidi="ar"/>
              </w:rPr>
              <w:t>，目前项目实际支出低于项目计划总投资金额。</w:t>
            </w:r>
          </w:p>
        </w:tc>
      </w:tr>
      <w:tr>
        <w:tblPrEx>
          <w:shd w:val="clear" w:color="auto" w:fill="auto"/>
          <w:tblCellMar>
            <w:top w:w="0" w:type="dxa"/>
            <w:left w:w="0" w:type="dxa"/>
            <w:bottom w:w="0" w:type="dxa"/>
            <w:right w:w="0" w:type="dxa"/>
          </w:tblCellMar>
        </w:tblPrEx>
        <w:trPr>
          <w:trHeight w:val="940" w:hRule="atLeast"/>
          <w:jc w:val="center"/>
        </w:trPr>
        <w:tc>
          <w:tcPr>
            <w:tcW w:w="329"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效益</w:t>
            </w:r>
          </w:p>
        </w:tc>
        <w:tc>
          <w:tcPr>
            <w:tcW w:w="190" w:type="pct"/>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20</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经济效益</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3</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周边经济</w:t>
            </w:r>
          </w:p>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发展程度</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3</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1"/>
                <w:szCs w:val="21"/>
                <w:highlight w:val="none"/>
                <w:lang w:val="en-US" w:eastAsia="zh-CN" w:bidi="ar"/>
              </w:rPr>
              <w:t>评价建设校园后周边经济发展情况。</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1"/>
                <w:szCs w:val="21"/>
                <w:highlight w:val="none"/>
                <w:lang w:val="en-US" w:eastAsia="zh-CN" w:bidi="ar"/>
              </w:rPr>
              <w:t>得分=调查问卷第2题赋权值*指标分值</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0"/>
                <w:szCs w:val="20"/>
                <w:highlight w:val="none"/>
                <w:u w:val="none"/>
                <w:lang w:val="en-US" w:eastAsia="zh-CN"/>
              </w:rPr>
            </w:pPr>
            <w:r>
              <w:rPr>
                <w:rFonts w:hint="eastAsia" w:ascii="宋体" w:hAnsi="宋体" w:cs="宋体"/>
                <w:b w:val="0"/>
                <w:bCs w:val="0"/>
                <w:i w:val="0"/>
                <w:color w:val="auto"/>
                <w:sz w:val="20"/>
                <w:szCs w:val="20"/>
                <w:highlight w:val="none"/>
                <w:u w:val="none"/>
                <w:lang w:val="en-US" w:eastAsia="zh-CN"/>
              </w:rPr>
              <w:t>2.79</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满意率92.86%。</w:t>
            </w:r>
          </w:p>
        </w:tc>
      </w:tr>
      <w:tr>
        <w:tblPrEx>
          <w:tblCellMar>
            <w:top w:w="0" w:type="dxa"/>
            <w:left w:w="0" w:type="dxa"/>
            <w:bottom w:w="0" w:type="dxa"/>
            <w:right w:w="0" w:type="dxa"/>
          </w:tblCellMar>
        </w:tblPrEx>
        <w:trPr>
          <w:trHeight w:val="814" w:hRule="atLeast"/>
          <w:jc w:val="center"/>
        </w:trPr>
        <w:tc>
          <w:tcPr>
            <w:tcW w:w="329"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190"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r>
              <w:rPr>
                <w:rFonts w:hint="eastAsia" w:ascii="宋体" w:hAnsi="宋体" w:cs="宋体"/>
                <w:i w:val="0"/>
                <w:color w:val="auto"/>
                <w:sz w:val="20"/>
                <w:szCs w:val="20"/>
                <w:highlight w:val="none"/>
                <w:u w:val="none"/>
                <w:lang w:val="en-US" w:eastAsia="zh-CN"/>
              </w:rPr>
              <w:t>社会效益</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3</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教学环境</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改善程度</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3</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1"/>
                <w:szCs w:val="21"/>
                <w:highlight w:val="none"/>
                <w:lang w:val="en-US" w:eastAsia="zh-CN" w:bidi="ar"/>
              </w:rPr>
              <w:t>评价建设校园后教学环境改善情况。</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1"/>
                <w:szCs w:val="21"/>
                <w:highlight w:val="none"/>
                <w:lang w:val="en-US" w:eastAsia="zh-CN" w:bidi="ar"/>
              </w:rPr>
              <w:t>得分=调查问卷第3题赋权值*指标分值</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0"/>
                <w:szCs w:val="20"/>
                <w:highlight w:val="none"/>
                <w:u w:val="none"/>
                <w:lang w:val="en-US" w:eastAsia="zh-CN"/>
              </w:rPr>
            </w:pPr>
            <w:r>
              <w:rPr>
                <w:rFonts w:hint="eastAsia" w:ascii="宋体" w:hAnsi="宋体" w:cs="宋体"/>
                <w:b w:val="0"/>
                <w:bCs w:val="0"/>
                <w:i w:val="0"/>
                <w:color w:val="auto"/>
                <w:sz w:val="20"/>
                <w:szCs w:val="20"/>
                <w:highlight w:val="none"/>
                <w:u w:val="none"/>
                <w:lang w:val="en-US" w:eastAsia="zh-CN"/>
              </w:rPr>
              <w:t>3</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bidi="ar"/>
              </w:rPr>
              <w:t>-</w:t>
            </w:r>
          </w:p>
        </w:tc>
      </w:tr>
      <w:tr>
        <w:tblPrEx>
          <w:tblCellMar>
            <w:top w:w="0" w:type="dxa"/>
            <w:left w:w="0" w:type="dxa"/>
            <w:bottom w:w="0" w:type="dxa"/>
            <w:right w:w="0" w:type="dxa"/>
          </w:tblCellMar>
        </w:tblPrEx>
        <w:trPr>
          <w:trHeight w:val="902" w:hRule="atLeast"/>
          <w:jc w:val="center"/>
        </w:trPr>
        <w:tc>
          <w:tcPr>
            <w:tcW w:w="329"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0"/>
                <w:szCs w:val="20"/>
                <w:highlight w:val="yellow"/>
                <w:u w:val="none"/>
                <w:lang w:val="en-US" w:eastAsia="zh-CN"/>
              </w:rPr>
            </w:pPr>
          </w:p>
        </w:tc>
        <w:tc>
          <w:tcPr>
            <w:tcW w:w="190"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0"/>
                <w:szCs w:val="20"/>
                <w:highlight w:val="yellow"/>
                <w:u w:val="none"/>
                <w:lang w:val="en-US" w:eastAsia="zh-CN"/>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生态效益</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3</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生态环境</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影响</w:t>
            </w:r>
            <w:r>
              <w:rPr>
                <w:rFonts w:hint="eastAsia" w:ascii="宋体" w:hAnsi="宋体" w:eastAsia="宋体" w:cs="宋体"/>
                <w:i w:val="0"/>
                <w:color w:val="000000"/>
                <w:kern w:val="0"/>
                <w:sz w:val="20"/>
                <w:szCs w:val="20"/>
                <w:highlight w:val="none"/>
                <w:u w:val="none"/>
                <w:lang w:val="en-US" w:eastAsia="zh-CN" w:bidi="ar"/>
              </w:rPr>
              <w:t>程度</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3</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color w:val="auto"/>
                <w:kern w:val="0"/>
                <w:sz w:val="21"/>
                <w:szCs w:val="21"/>
                <w:highlight w:val="none"/>
                <w:lang w:val="en-US" w:eastAsia="zh-CN" w:bidi="ar"/>
              </w:rPr>
              <w:t>评价建设校园后生态环境影响程度。</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color w:val="auto"/>
                <w:kern w:val="0"/>
                <w:sz w:val="21"/>
                <w:szCs w:val="21"/>
                <w:highlight w:val="none"/>
                <w:lang w:val="en-US" w:eastAsia="zh-CN" w:bidi="ar"/>
              </w:rPr>
              <w:t>得分=调查问卷第5题赋权值*指标分值</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0"/>
                <w:szCs w:val="20"/>
                <w:highlight w:val="none"/>
                <w:u w:val="none"/>
                <w:lang w:val="en-US" w:eastAsia="zh-CN" w:bidi="ar"/>
              </w:rPr>
            </w:pPr>
            <w:r>
              <w:rPr>
                <w:rFonts w:hint="eastAsia" w:ascii="宋体" w:hAnsi="宋体" w:cs="宋体"/>
                <w:b w:val="0"/>
                <w:bCs w:val="0"/>
                <w:i w:val="0"/>
                <w:color w:val="auto"/>
                <w:kern w:val="0"/>
                <w:sz w:val="20"/>
                <w:szCs w:val="20"/>
                <w:highlight w:val="none"/>
                <w:u w:val="none"/>
                <w:lang w:val="en-US" w:eastAsia="zh-CN" w:bidi="ar"/>
              </w:rPr>
              <w:t>2.79</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sz w:val="20"/>
                <w:szCs w:val="20"/>
                <w:highlight w:val="none"/>
                <w:u w:val="none"/>
                <w:lang w:val="en-US" w:eastAsia="zh-CN"/>
              </w:rPr>
              <w:t>满意率92.86%。</w:t>
            </w:r>
          </w:p>
        </w:tc>
      </w:tr>
      <w:tr>
        <w:tblPrEx>
          <w:tblCellMar>
            <w:top w:w="0" w:type="dxa"/>
            <w:left w:w="0" w:type="dxa"/>
            <w:bottom w:w="0" w:type="dxa"/>
            <w:right w:w="0" w:type="dxa"/>
          </w:tblCellMar>
        </w:tblPrEx>
        <w:trPr>
          <w:trHeight w:val="725" w:hRule="atLeast"/>
          <w:jc w:val="center"/>
        </w:trPr>
        <w:tc>
          <w:tcPr>
            <w:tcW w:w="329"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190"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368"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可持续</w:t>
            </w:r>
          </w:p>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影响</w:t>
            </w:r>
          </w:p>
        </w:tc>
        <w:tc>
          <w:tcPr>
            <w:tcW w:w="176"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7</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可使用年限</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3</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sz w:val="21"/>
                <w:szCs w:val="21"/>
                <w:highlight w:val="none"/>
                <w:lang w:val="en-US" w:eastAsia="zh-CN"/>
              </w:rPr>
              <w:t>评价项目实施后基础设施的可持续影响情况。</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sz w:val="21"/>
                <w:szCs w:val="21"/>
                <w:highlight w:val="none"/>
                <w:lang w:val="en-US" w:eastAsia="zh-CN"/>
              </w:rPr>
              <w:t>使用年限三十年以上，得满分；使用年限二十年至三十年，得1.5分；可使用年限二十年以下，不得分。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0"/>
                <w:szCs w:val="20"/>
                <w:highlight w:val="none"/>
                <w:u w:val="none"/>
                <w:lang w:val="en-US" w:eastAsia="zh-CN"/>
              </w:rPr>
            </w:pPr>
            <w:r>
              <w:rPr>
                <w:rFonts w:hint="eastAsia" w:ascii="宋体" w:hAnsi="宋体" w:cs="宋体"/>
                <w:b w:val="0"/>
                <w:bCs w:val="0"/>
                <w:i w:val="0"/>
                <w:color w:val="auto"/>
                <w:sz w:val="20"/>
                <w:szCs w:val="20"/>
                <w:highlight w:val="none"/>
                <w:u w:val="none"/>
                <w:lang w:val="en-US" w:eastAsia="zh-CN"/>
              </w:rPr>
              <w:t>3</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r>
      <w:tr>
        <w:tblPrEx>
          <w:tblCellMar>
            <w:top w:w="0" w:type="dxa"/>
            <w:left w:w="0" w:type="dxa"/>
            <w:bottom w:w="0" w:type="dxa"/>
            <w:right w:w="0" w:type="dxa"/>
          </w:tblCellMar>
        </w:tblPrEx>
        <w:trPr>
          <w:trHeight w:val="1138" w:hRule="atLeast"/>
          <w:jc w:val="center"/>
        </w:trPr>
        <w:tc>
          <w:tcPr>
            <w:tcW w:w="329"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190"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rPr>
            </w:pPr>
          </w:p>
        </w:tc>
        <w:tc>
          <w:tcPr>
            <w:tcW w:w="368"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176"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0"/>
                <w:szCs w:val="20"/>
                <w:highlight w:val="none"/>
                <w:u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偿债风险</w:t>
            </w:r>
          </w:p>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能力</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sz w:val="21"/>
                <w:szCs w:val="21"/>
                <w:highlight w:val="none"/>
                <w:lang w:val="en-US" w:eastAsia="zh-CN"/>
              </w:rPr>
              <w:t>评价项目债券资金偿债风险的保障能力。</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hAnsi="宋体" w:cs="宋体"/>
                <w:color w:val="auto"/>
                <w:sz w:val="20"/>
                <w:szCs w:val="20"/>
                <w:highlight w:val="none"/>
                <w:lang w:val="en-US" w:eastAsia="zh-CN"/>
              </w:rPr>
              <w:t>对本项指标进行综合评价</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0"/>
                <w:szCs w:val="20"/>
                <w:highlight w:val="none"/>
                <w:u w:val="none"/>
              </w:rPr>
            </w:pPr>
            <w:r>
              <w:rPr>
                <w:rFonts w:hint="eastAsia" w:ascii="宋体" w:hAnsi="宋体" w:eastAsia="宋体" w:cs="宋体"/>
                <w:b w:val="0"/>
                <w:bCs w:val="0"/>
                <w:i w:val="0"/>
                <w:color w:val="auto"/>
                <w:kern w:val="0"/>
                <w:sz w:val="20"/>
                <w:szCs w:val="20"/>
                <w:highlight w:val="none"/>
                <w:u w:val="none"/>
                <w:lang w:val="en-US" w:eastAsia="zh-CN" w:bidi="ar"/>
              </w:rPr>
              <w:t>4</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r>
      <w:tr>
        <w:tblPrEx>
          <w:tblCellMar>
            <w:top w:w="0" w:type="dxa"/>
            <w:left w:w="0" w:type="dxa"/>
            <w:bottom w:w="0" w:type="dxa"/>
            <w:right w:w="0" w:type="dxa"/>
          </w:tblCellMar>
        </w:tblPrEx>
        <w:trPr>
          <w:trHeight w:val="993" w:hRule="atLeast"/>
          <w:jc w:val="center"/>
        </w:trPr>
        <w:tc>
          <w:tcPr>
            <w:tcW w:w="329"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0"/>
                <w:szCs w:val="20"/>
                <w:highlight w:val="yellow"/>
                <w:u w:val="none"/>
                <w:lang w:eastAsia="zh-CN"/>
              </w:rPr>
            </w:pPr>
          </w:p>
        </w:tc>
        <w:tc>
          <w:tcPr>
            <w:tcW w:w="190" w:type="pct"/>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FF0000"/>
                <w:sz w:val="20"/>
                <w:szCs w:val="20"/>
                <w:highlight w:val="yellow"/>
                <w:u w:val="none"/>
                <w:lang w:val="en-US" w:eastAsia="zh-CN"/>
              </w:rPr>
            </w:pPr>
          </w:p>
        </w:tc>
        <w:tc>
          <w:tcPr>
            <w:tcW w:w="368" w:type="pc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满意度</w:t>
            </w:r>
          </w:p>
          <w:p>
            <w:pPr>
              <w:jc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调查</w:t>
            </w:r>
          </w:p>
        </w:tc>
        <w:tc>
          <w:tcPr>
            <w:tcW w:w="176" w:type="pc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4</w:t>
            </w:r>
          </w:p>
        </w:tc>
        <w:tc>
          <w:tcPr>
            <w:tcW w:w="40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教师满意度</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4</w:t>
            </w:r>
          </w:p>
        </w:tc>
        <w:tc>
          <w:tcPr>
            <w:tcW w:w="16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1"/>
                <w:szCs w:val="21"/>
                <w:highlight w:val="none"/>
                <w:lang w:bidi="ar"/>
              </w:rPr>
              <w:t>评价教师对校舍投入使用后的满意程度。</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得分=满意度*指标分值；</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1"/>
                <w:szCs w:val="21"/>
                <w:highlight w:val="none"/>
                <w:lang w:val="en-US" w:eastAsia="zh-CN" w:bidi="ar"/>
              </w:rPr>
              <w:t>低于70%不得分。</w:t>
            </w:r>
          </w:p>
        </w:tc>
        <w:tc>
          <w:tcPr>
            <w:tcW w:w="22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0"/>
                <w:szCs w:val="20"/>
                <w:highlight w:val="none"/>
                <w:u w:val="none"/>
                <w:lang w:val="en-US" w:eastAsia="zh-CN"/>
              </w:rPr>
            </w:pPr>
            <w:r>
              <w:rPr>
                <w:rFonts w:hint="eastAsia" w:ascii="宋体" w:hAnsi="宋体" w:cs="宋体"/>
                <w:b w:val="0"/>
                <w:bCs w:val="0"/>
                <w:i w:val="0"/>
                <w:color w:val="auto"/>
                <w:sz w:val="20"/>
                <w:szCs w:val="20"/>
                <w:highlight w:val="none"/>
                <w:u w:val="none"/>
                <w:lang w:val="en-US" w:eastAsia="zh-CN"/>
              </w:rPr>
              <w:t>3.76</w:t>
            </w:r>
          </w:p>
        </w:tc>
        <w:tc>
          <w:tcPr>
            <w:tcW w:w="5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教师满意度94.09%。</w:t>
            </w:r>
          </w:p>
        </w:tc>
      </w:tr>
      <w:tr>
        <w:tblPrEx>
          <w:tblCellMar>
            <w:top w:w="0" w:type="dxa"/>
            <w:left w:w="0" w:type="dxa"/>
            <w:bottom w:w="0" w:type="dxa"/>
            <w:right w:w="0" w:type="dxa"/>
          </w:tblCellMar>
        </w:tblPrEx>
        <w:trPr>
          <w:trHeight w:val="432" w:hRule="atLeast"/>
          <w:jc w:val="center"/>
        </w:trPr>
        <w:tc>
          <w:tcPr>
            <w:tcW w:w="4209" w:type="pct"/>
            <w:gridSpan w:val="8"/>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0"/>
                <w:szCs w:val="20"/>
                <w:highlight w:val="yellow"/>
                <w:u w:val="none"/>
              </w:rPr>
            </w:pPr>
            <w:r>
              <w:rPr>
                <w:rFonts w:hint="eastAsia" w:ascii="宋体" w:hAnsi="宋体" w:cs="宋体"/>
                <w:b/>
                <w:bCs w:val="0"/>
                <w:i w:val="0"/>
                <w:color w:val="auto"/>
                <w:kern w:val="0"/>
                <w:sz w:val="20"/>
                <w:szCs w:val="20"/>
                <w:highlight w:val="none"/>
                <w:u w:val="none"/>
                <w:lang w:val="en-US" w:eastAsia="zh-CN" w:bidi="ar"/>
              </w:rPr>
              <w:t>综合得分</w:t>
            </w:r>
          </w:p>
        </w:tc>
        <w:tc>
          <w:tcPr>
            <w:tcW w:w="222" w:type="pc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bCs w:val="0"/>
                <w:i w:val="0"/>
                <w:color w:val="auto"/>
                <w:sz w:val="20"/>
                <w:szCs w:val="20"/>
                <w:highlight w:val="none"/>
                <w:u w:val="none"/>
                <w:lang w:val="en-US"/>
              </w:rPr>
            </w:pPr>
            <w:r>
              <w:rPr>
                <w:rFonts w:hint="eastAsia" w:ascii="宋体" w:hAnsi="宋体" w:cs="宋体"/>
                <w:b/>
                <w:bCs w:val="0"/>
                <w:i w:val="0"/>
                <w:color w:val="auto"/>
                <w:kern w:val="0"/>
                <w:sz w:val="20"/>
                <w:szCs w:val="20"/>
                <w:highlight w:val="none"/>
                <w:u w:val="none"/>
                <w:lang w:val="en-US" w:eastAsia="zh-CN" w:bidi="ar"/>
              </w:rPr>
              <w:t>86.34</w:t>
            </w:r>
          </w:p>
        </w:tc>
        <w:tc>
          <w:tcPr>
            <w:tcW w:w="568"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b/>
                <w:bCs w:val="0"/>
                <w:i w:val="0"/>
                <w:color w:val="auto"/>
                <w:sz w:val="20"/>
                <w:szCs w:val="20"/>
                <w:highlight w:val="yellow"/>
                <w:u w:val="none"/>
              </w:rPr>
            </w:pPr>
          </w:p>
        </w:tc>
      </w:tr>
    </w:tbl>
    <w:p>
      <w:pPr>
        <w:pStyle w:val="2"/>
        <w:rPr>
          <w:rFonts w:hint="eastAsia"/>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TBhYjc5NTcxMTIwYTUxZTk2NThhMzAzYzY5ZWMifQ=="/>
  </w:docVars>
  <w:rsids>
    <w:rsidRoot w:val="00000000"/>
    <w:rsid w:val="0008740E"/>
    <w:rsid w:val="00123623"/>
    <w:rsid w:val="00262258"/>
    <w:rsid w:val="002908BE"/>
    <w:rsid w:val="00384868"/>
    <w:rsid w:val="00387293"/>
    <w:rsid w:val="0064259C"/>
    <w:rsid w:val="009447C3"/>
    <w:rsid w:val="00ED2364"/>
    <w:rsid w:val="00FF56BA"/>
    <w:rsid w:val="012A5692"/>
    <w:rsid w:val="01362832"/>
    <w:rsid w:val="01411553"/>
    <w:rsid w:val="015556E4"/>
    <w:rsid w:val="018B63E2"/>
    <w:rsid w:val="019607F7"/>
    <w:rsid w:val="019B1073"/>
    <w:rsid w:val="019B3193"/>
    <w:rsid w:val="01B3376D"/>
    <w:rsid w:val="01BD628D"/>
    <w:rsid w:val="0208620E"/>
    <w:rsid w:val="0215711B"/>
    <w:rsid w:val="022B4A3F"/>
    <w:rsid w:val="023D7505"/>
    <w:rsid w:val="02E209F4"/>
    <w:rsid w:val="0302384C"/>
    <w:rsid w:val="03242A85"/>
    <w:rsid w:val="032F7E14"/>
    <w:rsid w:val="037A7070"/>
    <w:rsid w:val="03D23EFC"/>
    <w:rsid w:val="03EA76C9"/>
    <w:rsid w:val="040047E0"/>
    <w:rsid w:val="042D20BB"/>
    <w:rsid w:val="043A35D9"/>
    <w:rsid w:val="048207E1"/>
    <w:rsid w:val="04A70498"/>
    <w:rsid w:val="04F05E87"/>
    <w:rsid w:val="04F802F5"/>
    <w:rsid w:val="052B1E03"/>
    <w:rsid w:val="05534407"/>
    <w:rsid w:val="05592F3D"/>
    <w:rsid w:val="057F1577"/>
    <w:rsid w:val="05A059BE"/>
    <w:rsid w:val="05A81992"/>
    <w:rsid w:val="05B057BE"/>
    <w:rsid w:val="05D6278E"/>
    <w:rsid w:val="05E20B4D"/>
    <w:rsid w:val="05E9487E"/>
    <w:rsid w:val="05F06364"/>
    <w:rsid w:val="063458E3"/>
    <w:rsid w:val="06732D73"/>
    <w:rsid w:val="06824A46"/>
    <w:rsid w:val="06A16104"/>
    <w:rsid w:val="06B80A70"/>
    <w:rsid w:val="06C34A5E"/>
    <w:rsid w:val="06D215CC"/>
    <w:rsid w:val="06DF36D8"/>
    <w:rsid w:val="06E02488"/>
    <w:rsid w:val="06F939F1"/>
    <w:rsid w:val="07506C6F"/>
    <w:rsid w:val="0775503D"/>
    <w:rsid w:val="0784404A"/>
    <w:rsid w:val="07FA2DF0"/>
    <w:rsid w:val="08150E1F"/>
    <w:rsid w:val="08241B61"/>
    <w:rsid w:val="08320503"/>
    <w:rsid w:val="083640B7"/>
    <w:rsid w:val="08443674"/>
    <w:rsid w:val="08786F1F"/>
    <w:rsid w:val="08862595"/>
    <w:rsid w:val="08C835F4"/>
    <w:rsid w:val="08CA7566"/>
    <w:rsid w:val="08CB0FA9"/>
    <w:rsid w:val="08E3087D"/>
    <w:rsid w:val="09087549"/>
    <w:rsid w:val="090A76E2"/>
    <w:rsid w:val="090C6F76"/>
    <w:rsid w:val="090C7AA2"/>
    <w:rsid w:val="090D306A"/>
    <w:rsid w:val="091C409A"/>
    <w:rsid w:val="092419A3"/>
    <w:rsid w:val="09314EE1"/>
    <w:rsid w:val="0969226A"/>
    <w:rsid w:val="097A7C44"/>
    <w:rsid w:val="09933569"/>
    <w:rsid w:val="09C74452"/>
    <w:rsid w:val="09C80342"/>
    <w:rsid w:val="09CC7732"/>
    <w:rsid w:val="09CE7CF1"/>
    <w:rsid w:val="09D70E72"/>
    <w:rsid w:val="09E638BB"/>
    <w:rsid w:val="0A251607"/>
    <w:rsid w:val="0A4B3DA4"/>
    <w:rsid w:val="0A60064A"/>
    <w:rsid w:val="0A8661B1"/>
    <w:rsid w:val="0ABA6171"/>
    <w:rsid w:val="0ABB01BD"/>
    <w:rsid w:val="0ABC6409"/>
    <w:rsid w:val="0AC645D0"/>
    <w:rsid w:val="0AEA78B8"/>
    <w:rsid w:val="0AFC3E8C"/>
    <w:rsid w:val="0B220607"/>
    <w:rsid w:val="0B425979"/>
    <w:rsid w:val="0B4812D6"/>
    <w:rsid w:val="0B895CC9"/>
    <w:rsid w:val="0B992FDF"/>
    <w:rsid w:val="0BBC081E"/>
    <w:rsid w:val="0BFE0D41"/>
    <w:rsid w:val="0C1D44D5"/>
    <w:rsid w:val="0C394366"/>
    <w:rsid w:val="0C40395E"/>
    <w:rsid w:val="0C5719A4"/>
    <w:rsid w:val="0C6D4970"/>
    <w:rsid w:val="0C816114"/>
    <w:rsid w:val="0C9420F8"/>
    <w:rsid w:val="0C964582"/>
    <w:rsid w:val="0C9E043C"/>
    <w:rsid w:val="0CAA7E0D"/>
    <w:rsid w:val="0CB01DFE"/>
    <w:rsid w:val="0CC2164E"/>
    <w:rsid w:val="0CD86640"/>
    <w:rsid w:val="0CDA7F48"/>
    <w:rsid w:val="0CDF61C6"/>
    <w:rsid w:val="0CF02925"/>
    <w:rsid w:val="0CFE59EB"/>
    <w:rsid w:val="0D045CF4"/>
    <w:rsid w:val="0D4E55E6"/>
    <w:rsid w:val="0D5219DA"/>
    <w:rsid w:val="0D797B25"/>
    <w:rsid w:val="0D7B3CBB"/>
    <w:rsid w:val="0D945492"/>
    <w:rsid w:val="0DC9391A"/>
    <w:rsid w:val="0DEA34B3"/>
    <w:rsid w:val="0E4F7EA3"/>
    <w:rsid w:val="0E5A59B2"/>
    <w:rsid w:val="0E5B4665"/>
    <w:rsid w:val="0E7C4318"/>
    <w:rsid w:val="0E9E2881"/>
    <w:rsid w:val="0EA915DD"/>
    <w:rsid w:val="0ECC03C2"/>
    <w:rsid w:val="0ECC12D1"/>
    <w:rsid w:val="0ED63EFE"/>
    <w:rsid w:val="0F1306A0"/>
    <w:rsid w:val="0F304D4B"/>
    <w:rsid w:val="0F337D57"/>
    <w:rsid w:val="0F416AD3"/>
    <w:rsid w:val="0F661269"/>
    <w:rsid w:val="0F726C63"/>
    <w:rsid w:val="0F737C41"/>
    <w:rsid w:val="0F916D1A"/>
    <w:rsid w:val="0FA21F87"/>
    <w:rsid w:val="0FE87B38"/>
    <w:rsid w:val="10190911"/>
    <w:rsid w:val="10393C43"/>
    <w:rsid w:val="1052344B"/>
    <w:rsid w:val="10635C65"/>
    <w:rsid w:val="106500EA"/>
    <w:rsid w:val="107045D4"/>
    <w:rsid w:val="107255D5"/>
    <w:rsid w:val="107710DA"/>
    <w:rsid w:val="10797237"/>
    <w:rsid w:val="10D00D9D"/>
    <w:rsid w:val="10E65C30"/>
    <w:rsid w:val="11032FA4"/>
    <w:rsid w:val="112371A2"/>
    <w:rsid w:val="11283F1A"/>
    <w:rsid w:val="11366ED6"/>
    <w:rsid w:val="113D798B"/>
    <w:rsid w:val="114662B6"/>
    <w:rsid w:val="1157728C"/>
    <w:rsid w:val="116B5EC9"/>
    <w:rsid w:val="1183497A"/>
    <w:rsid w:val="11C1100D"/>
    <w:rsid w:val="11EB2ACB"/>
    <w:rsid w:val="122049AD"/>
    <w:rsid w:val="123D6C46"/>
    <w:rsid w:val="12525F91"/>
    <w:rsid w:val="12563E0F"/>
    <w:rsid w:val="126637EB"/>
    <w:rsid w:val="128040A9"/>
    <w:rsid w:val="129A1FA4"/>
    <w:rsid w:val="12A00B8E"/>
    <w:rsid w:val="12AF6680"/>
    <w:rsid w:val="12C31F90"/>
    <w:rsid w:val="12D35B44"/>
    <w:rsid w:val="12E633DB"/>
    <w:rsid w:val="13370CAB"/>
    <w:rsid w:val="13470B3F"/>
    <w:rsid w:val="134B66D7"/>
    <w:rsid w:val="135E021A"/>
    <w:rsid w:val="136B2D4D"/>
    <w:rsid w:val="136F49DE"/>
    <w:rsid w:val="137E6912"/>
    <w:rsid w:val="138C1EAB"/>
    <w:rsid w:val="139D6DC3"/>
    <w:rsid w:val="13D50FD6"/>
    <w:rsid w:val="13ED71A4"/>
    <w:rsid w:val="14140772"/>
    <w:rsid w:val="14221126"/>
    <w:rsid w:val="144E00CA"/>
    <w:rsid w:val="146B421C"/>
    <w:rsid w:val="147D1EFD"/>
    <w:rsid w:val="148C6EDE"/>
    <w:rsid w:val="148E2565"/>
    <w:rsid w:val="14AC74F1"/>
    <w:rsid w:val="14B86DB9"/>
    <w:rsid w:val="14E00E3B"/>
    <w:rsid w:val="15455AE1"/>
    <w:rsid w:val="15693390"/>
    <w:rsid w:val="159D7523"/>
    <w:rsid w:val="159E329B"/>
    <w:rsid w:val="15A311E2"/>
    <w:rsid w:val="15A83965"/>
    <w:rsid w:val="15D10887"/>
    <w:rsid w:val="15E34385"/>
    <w:rsid w:val="15EE7D7F"/>
    <w:rsid w:val="16135F69"/>
    <w:rsid w:val="16183139"/>
    <w:rsid w:val="162A7E15"/>
    <w:rsid w:val="16511F7B"/>
    <w:rsid w:val="16531188"/>
    <w:rsid w:val="165862EF"/>
    <w:rsid w:val="166B797A"/>
    <w:rsid w:val="16761515"/>
    <w:rsid w:val="16A57A5D"/>
    <w:rsid w:val="16B014D8"/>
    <w:rsid w:val="16DA6D74"/>
    <w:rsid w:val="16DB6903"/>
    <w:rsid w:val="16EF7413"/>
    <w:rsid w:val="16F92E7F"/>
    <w:rsid w:val="171378B1"/>
    <w:rsid w:val="171A0BFF"/>
    <w:rsid w:val="17282E75"/>
    <w:rsid w:val="17395463"/>
    <w:rsid w:val="173E38E2"/>
    <w:rsid w:val="174B3CF3"/>
    <w:rsid w:val="177277D8"/>
    <w:rsid w:val="17852965"/>
    <w:rsid w:val="17A02D37"/>
    <w:rsid w:val="17AE59AB"/>
    <w:rsid w:val="17BB0D7E"/>
    <w:rsid w:val="17E67D0F"/>
    <w:rsid w:val="17FB1631"/>
    <w:rsid w:val="18385491"/>
    <w:rsid w:val="185F4F64"/>
    <w:rsid w:val="186E4BED"/>
    <w:rsid w:val="1891553C"/>
    <w:rsid w:val="18932E60"/>
    <w:rsid w:val="18A42A10"/>
    <w:rsid w:val="18B955D1"/>
    <w:rsid w:val="18D4297C"/>
    <w:rsid w:val="18EA11C0"/>
    <w:rsid w:val="18FA6A3B"/>
    <w:rsid w:val="192C753C"/>
    <w:rsid w:val="193C445C"/>
    <w:rsid w:val="194C3083"/>
    <w:rsid w:val="195E1723"/>
    <w:rsid w:val="19646E07"/>
    <w:rsid w:val="19662508"/>
    <w:rsid w:val="198D2F17"/>
    <w:rsid w:val="199D59D9"/>
    <w:rsid w:val="19AA549C"/>
    <w:rsid w:val="19AA7E9E"/>
    <w:rsid w:val="19B666E6"/>
    <w:rsid w:val="19E37A74"/>
    <w:rsid w:val="19F855B3"/>
    <w:rsid w:val="19FA7A9C"/>
    <w:rsid w:val="19FC52FF"/>
    <w:rsid w:val="1A053989"/>
    <w:rsid w:val="1A0F22FD"/>
    <w:rsid w:val="1A766ADF"/>
    <w:rsid w:val="1A811E8A"/>
    <w:rsid w:val="1ACE6632"/>
    <w:rsid w:val="1AD279E0"/>
    <w:rsid w:val="1AD71EEB"/>
    <w:rsid w:val="1B057157"/>
    <w:rsid w:val="1B0D0B2F"/>
    <w:rsid w:val="1B242ACC"/>
    <w:rsid w:val="1B345853"/>
    <w:rsid w:val="1B3F4F8D"/>
    <w:rsid w:val="1B684130"/>
    <w:rsid w:val="1B6C0EE8"/>
    <w:rsid w:val="1B7B0307"/>
    <w:rsid w:val="1B9F30FF"/>
    <w:rsid w:val="1BB3797E"/>
    <w:rsid w:val="1BB757A7"/>
    <w:rsid w:val="1BBD01E0"/>
    <w:rsid w:val="1BD93C80"/>
    <w:rsid w:val="1BDC3375"/>
    <w:rsid w:val="1BE57C3C"/>
    <w:rsid w:val="1C024584"/>
    <w:rsid w:val="1C0320AA"/>
    <w:rsid w:val="1C056C71"/>
    <w:rsid w:val="1C1147C7"/>
    <w:rsid w:val="1C234BD5"/>
    <w:rsid w:val="1C3515F3"/>
    <w:rsid w:val="1C4E3D17"/>
    <w:rsid w:val="1C575ED2"/>
    <w:rsid w:val="1C5D5C5E"/>
    <w:rsid w:val="1C6B01E7"/>
    <w:rsid w:val="1C6B2B71"/>
    <w:rsid w:val="1C72619A"/>
    <w:rsid w:val="1C8F3B35"/>
    <w:rsid w:val="1CB14232"/>
    <w:rsid w:val="1CB235CE"/>
    <w:rsid w:val="1CC21768"/>
    <w:rsid w:val="1CD67F52"/>
    <w:rsid w:val="1CE3624B"/>
    <w:rsid w:val="1D1115AA"/>
    <w:rsid w:val="1D155749"/>
    <w:rsid w:val="1D1C05CD"/>
    <w:rsid w:val="1D252ACE"/>
    <w:rsid w:val="1D5F485C"/>
    <w:rsid w:val="1D676236"/>
    <w:rsid w:val="1D6C348C"/>
    <w:rsid w:val="1D9077D6"/>
    <w:rsid w:val="1DA67191"/>
    <w:rsid w:val="1DDE0F32"/>
    <w:rsid w:val="1DFB7192"/>
    <w:rsid w:val="1E013ACA"/>
    <w:rsid w:val="1E1416E0"/>
    <w:rsid w:val="1E1978D6"/>
    <w:rsid w:val="1E202CED"/>
    <w:rsid w:val="1E26440C"/>
    <w:rsid w:val="1E2B7107"/>
    <w:rsid w:val="1E2D340E"/>
    <w:rsid w:val="1EB577E9"/>
    <w:rsid w:val="1ECA0C94"/>
    <w:rsid w:val="1EFB1C05"/>
    <w:rsid w:val="1F667AB2"/>
    <w:rsid w:val="1F6F0182"/>
    <w:rsid w:val="1F7E4405"/>
    <w:rsid w:val="1FB97FB9"/>
    <w:rsid w:val="1FBA62C8"/>
    <w:rsid w:val="1FEA416A"/>
    <w:rsid w:val="1FFE024F"/>
    <w:rsid w:val="200F7EC4"/>
    <w:rsid w:val="202B1BD0"/>
    <w:rsid w:val="20631714"/>
    <w:rsid w:val="20657105"/>
    <w:rsid w:val="20693CF3"/>
    <w:rsid w:val="206C2383"/>
    <w:rsid w:val="206D09A2"/>
    <w:rsid w:val="2071178A"/>
    <w:rsid w:val="208426A6"/>
    <w:rsid w:val="208F2DEF"/>
    <w:rsid w:val="20AF7659"/>
    <w:rsid w:val="20C0368A"/>
    <w:rsid w:val="20EC135F"/>
    <w:rsid w:val="20F841A8"/>
    <w:rsid w:val="210B3EDB"/>
    <w:rsid w:val="2129610F"/>
    <w:rsid w:val="21426E78"/>
    <w:rsid w:val="214474EF"/>
    <w:rsid w:val="21507535"/>
    <w:rsid w:val="2182153E"/>
    <w:rsid w:val="21901F20"/>
    <w:rsid w:val="21985CA9"/>
    <w:rsid w:val="21AE5338"/>
    <w:rsid w:val="21B47689"/>
    <w:rsid w:val="21C24DCA"/>
    <w:rsid w:val="21E50480"/>
    <w:rsid w:val="21FF5C41"/>
    <w:rsid w:val="2208147E"/>
    <w:rsid w:val="22313F70"/>
    <w:rsid w:val="225F77EB"/>
    <w:rsid w:val="226B632B"/>
    <w:rsid w:val="228201CD"/>
    <w:rsid w:val="229C4661"/>
    <w:rsid w:val="22A66805"/>
    <w:rsid w:val="22B37DB7"/>
    <w:rsid w:val="22C34A91"/>
    <w:rsid w:val="22CC0148"/>
    <w:rsid w:val="22D7664F"/>
    <w:rsid w:val="22EE12B2"/>
    <w:rsid w:val="230C06F7"/>
    <w:rsid w:val="232F59C2"/>
    <w:rsid w:val="23311E28"/>
    <w:rsid w:val="23370697"/>
    <w:rsid w:val="233D5EA2"/>
    <w:rsid w:val="2379055E"/>
    <w:rsid w:val="239C24D4"/>
    <w:rsid w:val="23B63E79"/>
    <w:rsid w:val="23D6400F"/>
    <w:rsid w:val="23EA1C76"/>
    <w:rsid w:val="23FA5ABE"/>
    <w:rsid w:val="24123E25"/>
    <w:rsid w:val="24125BE4"/>
    <w:rsid w:val="24295C05"/>
    <w:rsid w:val="242F0D77"/>
    <w:rsid w:val="24332441"/>
    <w:rsid w:val="24340A4D"/>
    <w:rsid w:val="24554D96"/>
    <w:rsid w:val="246C03A3"/>
    <w:rsid w:val="246F4E5C"/>
    <w:rsid w:val="2485310B"/>
    <w:rsid w:val="24EC068D"/>
    <w:rsid w:val="24F42221"/>
    <w:rsid w:val="2511521A"/>
    <w:rsid w:val="25153ACD"/>
    <w:rsid w:val="252821D0"/>
    <w:rsid w:val="2544641F"/>
    <w:rsid w:val="25580E37"/>
    <w:rsid w:val="25657932"/>
    <w:rsid w:val="25CB37C9"/>
    <w:rsid w:val="2629095F"/>
    <w:rsid w:val="262F78E0"/>
    <w:rsid w:val="26361D16"/>
    <w:rsid w:val="264F3C7F"/>
    <w:rsid w:val="26C436A5"/>
    <w:rsid w:val="26D63BCB"/>
    <w:rsid w:val="26FD1F2D"/>
    <w:rsid w:val="270C59B5"/>
    <w:rsid w:val="27206504"/>
    <w:rsid w:val="27231E45"/>
    <w:rsid w:val="272A498F"/>
    <w:rsid w:val="27441EF5"/>
    <w:rsid w:val="27445A0B"/>
    <w:rsid w:val="275F7981"/>
    <w:rsid w:val="277E68DF"/>
    <w:rsid w:val="277F7BC6"/>
    <w:rsid w:val="278A47D2"/>
    <w:rsid w:val="2794401F"/>
    <w:rsid w:val="27B50697"/>
    <w:rsid w:val="27C5072C"/>
    <w:rsid w:val="27C652D8"/>
    <w:rsid w:val="27D20819"/>
    <w:rsid w:val="27EE208E"/>
    <w:rsid w:val="27F5199E"/>
    <w:rsid w:val="28157197"/>
    <w:rsid w:val="28294EE5"/>
    <w:rsid w:val="282B3295"/>
    <w:rsid w:val="28422C6D"/>
    <w:rsid w:val="2844597F"/>
    <w:rsid w:val="284952E9"/>
    <w:rsid w:val="28822D98"/>
    <w:rsid w:val="28925C06"/>
    <w:rsid w:val="28A075FF"/>
    <w:rsid w:val="28A4007E"/>
    <w:rsid w:val="28B1771A"/>
    <w:rsid w:val="28D67BDE"/>
    <w:rsid w:val="28DB5A86"/>
    <w:rsid w:val="28E442F1"/>
    <w:rsid w:val="292113EA"/>
    <w:rsid w:val="293729A0"/>
    <w:rsid w:val="296D75B2"/>
    <w:rsid w:val="29A9603F"/>
    <w:rsid w:val="29CF267C"/>
    <w:rsid w:val="29D777E2"/>
    <w:rsid w:val="29E87B4A"/>
    <w:rsid w:val="2A383E31"/>
    <w:rsid w:val="2A5D516F"/>
    <w:rsid w:val="2A8650B1"/>
    <w:rsid w:val="2A980BE2"/>
    <w:rsid w:val="2AB807BD"/>
    <w:rsid w:val="2ABF45A3"/>
    <w:rsid w:val="2AEF1115"/>
    <w:rsid w:val="2B0D1108"/>
    <w:rsid w:val="2B833133"/>
    <w:rsid w:val="2B863EAA"/>
    <w:rsid w:val="2B872ED7"/>
    <w:rsid w:val="2BB96C96"/>
    <w:rsid w:val="2BBC1EED"/>
    <w:rsid w:val="2BD5116A"/>
    <w:rsid w:val="2BEC25FE"/>
    <w:rsid w:val="2BEF6B9F"/>
    <w:rsid w:val="2C162CBC"/>
    <w:rsid w:val="2C3A2813"/>
    <w:rsid w:val="2C3F322F"/>
    <w:rsid w:val="2C45363E"/>
    <w:rsid w:val="2C454E71"/>
    <w:rsid w:val="2C46226B"/>
    <w:rsid w:val="2C6E057F"/>
    <w:rsid w:val="2C7C5BC4"/>
    <w:rsid w:val="2C9A25B7"/>
    <w:rsid w:val="2CA25F95"/>
    <w:rsid w:val="2CB17B2B"/>
    <w:rsid w:val="2CB665D9"/>
    <w:rsid w:val="2CDD5D30"/>
    <w:rsid w:val="2CF8171B"/>
    <w:rsid w:val="2D0B6B14"/>
    <w:rsid w:val="2D0D7AC8"/>
    <w:rsid w:val="2D2C0205"/>
    <w:rsid w:val="2D5B5B50"/>
    <w:rsid w:val="2D731DAD"/>
    <w:rsid w:val="2DCE74DB"/>
    <w:rsid w:val="2E1D56B0"/>
    <w:rsid w:val="2E30446A"/>
    <w:rsid w:val="2E352597"/>
    <w:rsid w:val="2E436595"/>
    <w:rsid w:val="2E441581"/>
    <w:rsid w:val="2E5839B2"/>
    <w:rsid w:val="2E7F7582"/>
    <w:rsid w:val="2EC368BD"/>
    <w:rsid w:val="2EF54CBE"/>
    <w:rsid w:val="2EF95A2D"/>
    <w:rsid w:val="2F120C64"/>
    <w:rsid w:val="2F2B3CE9"/>
    <w:rsid w:val="2F300FB0"/>
    <w:rsid w:val="2FCD5840"/>
    <w:rsid w:val="2FD24829"/>
    <w:rsid w:val="2FDE27BA"/>
    <w:rsid w:val="2FF62D2B"/>
    <w:rsid w:val="300035AE"/>
    <w:rsid w:val="30224721"/>
    <w:rsid w:val="305552B9"/>
    <w:rsid w:val="30585C2E"/>
    <w:rsid w:val="305A05AC"/>
    <w:rsid w:val="3060088B"/>
    <w:rsid w:val="30744ECD"/>
    <w:rsid w:val="30822739"/>
    <w:rsid w:val="30A72F08"/>
    <w:rsid w:val="30BF3162"/>
    <w:rsid w:val="30EB3A8E"/>
    <w:rsid w:val="30ED4293"/>
    <w:rsid w:val="3101315C"/>
    <w:rsid w:val="312721F1"/>
    <w:rsid w:val="312D1C4B"/>
    <w:rsid w:val="313474FF"/>
    <w:rsid w:val="313C0812"/>
    <w:rsid w:val="3150667D"/>
    <w:rsid w:val="3161740B"/>
    <w:rsid w:val="3173506A"/>
    <w:rsid w:val="318F1C55"/>
    <w:rsid w:val="31BE2E87"/>
    <w:rsid w:val="31EB35B9"/>
    <w:rsid w:val="320D48B1"/>
    <w:rsid w:val="32491015"/>
    <w:rsid w:val="32535A46"/>
    <w:rsid w:val="32594442"/>
    <w:rsid w:val="3295670E"/>
    <w:rsid w:val="32CC5DB9"/>
    <w:rsid w:val="32D65250"/>
    <w:rsid w:val="32F20F56"/>
    <w:rsid w:val="33385277"/>
    <w:rsid w:val="333A058B"/>
    <w:rsid w:val="33616F2F"/>
    <w:rsid w:val="33707039"/>
    <w:rsid w:val="33720566"/>
    <w:rsid w:val="3392271F"/>
    <w:rsid w:val="33A2726A"/>
    <w:rsid w:val="33BE4DDD"/>
    <w:rsid w:val="33C536EB"/>
    <w:rsid w:val="33CB12A8"/>
    <w:rsid w:val="33CC35A7"/>
    <w:rsid w:val="33CE04B0"/>
    <w:rsid w:val="33D730D7"/>
    <w:rsid w:val="33EA7F91"/>
    <w:rsid w:val="34076784"/>
    <w:rsid w:val="340A6274"/>
    <w:rsid w:val="341E734F"/>
    <w:rsid w:val="342E3C05"/>
    <w:rsid w:val="34615BAE"/>
    <w:rsid w:val="348310EB"/>
    <w:rsid w:val="34C13CC3"/>
    <w:rsid w:val="34E44814"/>
    <w:rsid w:val="350B1BE2"/>
    <w:rsid w:val="35200A71"/>
    <w:rsid w:val="352F0E65"/>
    <w:rsid w:val="354827F2"/>
    <w:rsid w:val="35620753"/>
    <w:rsid w:val="357E747C"/>
    <w:rsid w:val="358F6563"/>
    <w:rsid w:val="35907EBC"/>
    <w:rsid w:val="3598340C"/>
    <w:rsid w:val="35A46254"/>
    <w:rsid w:val="35AB1A64"/>
    <w:rsid w:val="35DE4DAB"/>
    <w:rsid w:val="36071FEB"/>
    <w:rsid w:val="3620705C"/>
    <w:rsid w:val="363F4A21"/>
    <w:rsid w:val="36426663"/>
    <w:rsid w:val="365476E2"/>
    <w:rsid w:val="365D160D"/>
    <w:rsid w:val="36D12BE7"/>
    <w:rsid w:val="36EE7447"/>
    <w:rsid w:val="371152AE"/>
    <w:rsid w:val="37144D14"/>
    <w:rsid w:val="371F0D47"/>
    <w:rsid w:val="372E61A8"/>
    <w:rsid w:val="37304FD7"/>
    <w:rsid w:val="374750E9"/>
    <w:rsid w:val="37526ED5"/>
    <w:rsid w:val="376A2716"/>
    <w:rsid w:val="37953275"/>
    <w:rsid w:val="37981029"/>
    <w:rsid w:val="37C25C3A"/>
    <w:rsid w:val="37C8624D"/>
    <w:rsid w:val="37E5184B"/>
    <w:rsid w:val="382E3A5B"/>
    <w:rsid w:val="38321AFF"/>
    <w:rsid w:val="383C0F11"/>
    <w:rsid w:val="384728FE"/>
    <w:rsid w:val="384B23CF"/>
    <w:rsid w:val="385221C3"/>
    <w:rsid w:val="38570B48"/>
    <w:rsid w:val="387B5392"/>
    <w:rsid w:val="38A75786"/>
    <w:rsid w:val="38A93E90"/>
    <w:rsid w:val="38D111D3"/>
    <w:rsid w:val="38EA43CE"/>
    <w:rsid w:val="38ED4FA8"/>
    <w:rsid w:val="38F324DA"/>
    <w:rsid w:val="38F80D91"/>
    <w:rsid w:val="39161C6C"/>
    <w:rsid w:val="393E1C0A"/>
    <w:rsid w:val="39477622"/>
    <w:rsid w:val="395061AC"/>
    <w:rsid w:val="3958133B"/>
    <w:rsid w:val="39592164"/>
    <w:rsid w:val="397F6DBC"/>
    <w:rsid w:val="398034DD"/>
    <w:rsid w:val="398E6FFF"/>
    <w:rsid w:val="39D81639"/>
    <w:rsid w:val="3A043290"/>
    <w:rsid w:val="3A057AC2"/>
    <w:rsid w:val="3A1302EC"/>
    <w:rsid w:val="3A267F9B"/>
    <w:rsid w:val="3A2E3244"/>
    <w:rsid w:val="3A3C47D1"/>
    <w:rsid w:val="3A492FD3"/>
    <w:rsid w:val="3A57316C"/>
    <w:rsid w:val="3A5B5E5B"/>
    <w:rsid w:val="3A775CE5"/>
    <w:rsid w:val="3A831D92"/>
    <w:rsid w:val="3A8C06DD"/>
    <w:rsid w:val="3AA87009"/>
    <w:rsid w:val="3AB2666B"/>
    <w:rsid w:val="3ADA063D"/>
    <w:rsid w:val="3AE45208"/>
    <w:rsid w:val="3AEE2D1A"/>
    <w:rsid w:val="3B052FD4"/>
    <w:rsid w:val="3B0F3A39"/>
    <w:rsid w:val="3B51354A"/>
    <w:rsid w:val="3B6B5A17"/>
    <w:rsid w:val="3B714E2B"/>
    <w:rsid w:val="3B826816"/>
    <w:rsid w:val="3BA85815"/>
    <w:rsid w:val="3BB26CF8"/>
    <w:rsid w:val="3BD73A64"/>
    <w:rsid w:val="3C072EDD"/>
    <w:rsid w:val="3C117DF8"/>
    <w:rsid w:val="3C146D65"/>
    <w:rsid w:val="3C3226C5"/>
    <w:rsid w:val="3C51554C"/>
    <w:rsid w:val="3C542716"/>
    <w:rsid w:val="3C7523A0"/>
    <w:rsid w:val="3C8234BA"/>
    <w:rsid w:val="3CA4371A"/>
    <w:rsid w:val="3CB404E9"/>
    <w:rsid w:val="3CC41863"/>
    <w:rsid w:val="3CCA570E"/>
    <w:rsid w:val="3CE27D8E"/>
    <w:rsid w:val="3CEB39F0"/>
    <w:rsid w:val="3D034ED2"/>
    <w:rsid w:val="3D037BF4"/>
    <w:rsid w:val="3D1E5593"/>
    <w:rsid w:val="3D2637DD"/>
    <w:rsid w:val="3D2B742F"/>
    <w:rsid w:val="3D3839BF"/>
    <w:rsid w:val="3D3C1709"/>
    <w:rsid w:val="3D424215"/>
    <w:rsid w:val="3D426CA2"/>
    <w:rsid w:val="3D524CBE"/>
    <w:rsid w:val="3D58708A"/>
    <w:rsid w:val="3D5967C5"/>
    <w:rsid w:val="3D8C1AA8"/>
    <w:rsid w:val="3DAD6FAA"/>
    <w:rsid w:val="3DBC1DBC"/>
    <w:rsid w:val="3DEB7B3A"/>
    <w:rsid w:val="3DEF47BA"/>
    <w:rsid w:val="3DFF6797"/>
    <w:rsid w:val="3E0A17B9"/>
    <w:rsid w:val="3E440363"/>
    <w:rsid w:val="3E7B21FC"/>
    <w:rsid w:val="3E925438"/>
    <w:rsid w:val="3EA129DF"/>
    <w:rsid w:val="3EA64DEB"/>
    <w:rsid w:val="3EB02959"/>
    <w:rsid w:val="3EC97C75"/>
    <w:rsid w:val="3ECE7753"/>
    <w:rsid w:val="3F0C7AA9"/>
    <w:rsid w:val="3F1735F3"/>
    <w:rsid w:val="3F1803F4"/>
    <w:rsid w:val="3F214651"/>
    <w:rsid w:val="3F3C10FA"/>
    <w:rsid w:val="3F4966B9"/>
    <w:rsid w:val="3F4F5AB0"/>
    <w:rsid w:val="3F504CA2"/>
    <w:rsid w:val="3F5D018C"/>
    <w:rsid w:val="3F721A98"/>
    <w:rsid w:val="3F98093C"/>
    <w:rsid w:val="3FB377C0"/>
    <w:rsid w:val="3FC75019"/>
    <w:rsid w:val="3FD44CEA"/>
    <w:rsid w:val="401255F4"/>
    <w:rsid w:val="40416B7A"/>
    <w:rsid w:val="40474B7A"/>
    <w:rsid w:val="404B4843"/>
    <w:rsid w:val="405317AF"/>
    <w:rsid w:val="40764E31"/>
    <w:rsid w:val="4096048E"/>
    <w:rsid w:val="409E245A"/>
    <w:rsid w:val="40B437EF"/>
    <w:rsid w:val="40DD421F"/>
    <w:rsid w:val="40E331C4"/>
    <w:rsid w:val="40EA4C48"/>
    <w:rsid w:val="40F670B8"/>
    <w:rsid w:val="411E5BC5"/>
    <w:rsid w:val="41210ABB"/>
    <w:rsid w:val="413F1B7A"/>
    <w:rsid w:val="417A13A9"/>
    <w:rsid w:val="41945D3E"/>
    <w:rsid w:val="41C007E5"/>
    <w:rsid w:val="41C33B1B"/>
    <w:rsid w:val="41E466BF"/>
    <w:rsid w:val="41ED1626"/>
    <w:rsid w:val="420147BC"/>
    <w:rsid w:val="42242864"/>
    <w:rsid w:val="42277FF1"/>
    <w:rsid w:val="42B806AA"/>
    <w:rsid w:val="42E44B7E"/>
    <w:rsid w:val="430B16C1"/>
    <w:rsid w:val="431315AE"/>
    <w:rsid w:val="432E265D"/>
    <w:rsid w:val="43506574"/>
    <w:rsid w:val="43626AF7"/>
    <w:rsid w:val="43666359"/>
    <w:rsid w:val="43691FCA"/>
    <w:rsid w:val="436F1C50"/>
    <w:rsid w:val="436F698E"/>
    <w:rsid w:val="437F1FB2"/>
    <w:rsid w:val="438615E8"/>
    <w:rsid w:val="43C20368"/>
    <w:rsid w:val="43D922F4"/>
    <w:rsid w:val="44082033"/>
    <w:rsid w:val="441C6C7C"/>
    <w:rsid w:val="4426085C"/>
    <w:rsid w:val="443F37A7"/>
    <w:rsid w:val="44633D92"/>
    <w:rsid w:val="447743D4"/>
    <w:rsid w:val="44895357"/>
    <w:rsid w:val="448B37C5"/>
    <w:rsid w:val="449D3B8F"/>
    <w:rsid w:val="44B13BC6"/>
    <w:rsid w:val="44B6565C"/>
    <w:rsid w:val="44C34C7E"/>
    <w:rsid w:val="44C64DC5"/>
    <w:rsid w:val="44C94859"/>
    <w:rsid w:val="44D1604A"/>
    <w:rsid w:val="44DB466F"/>
    <w:rsid w:val="44E74251"/>
    <w:rsid w:val="44F30319"/>
    <w:rsid w:val="451C6594"/>
    <w:rsid w:val="454744F6"/>
    <w:rsid w:val="457F1EF2"/>
    <w:rsid w:val="45894D4F"/>
    <w:rsid w:val="460621FF"/>
    <w:rsid w:val="46120E07"/>
    <w:rsid w:val="4627583A"/>
    <w:rsid w:val="46593665"/>
    <w:rsid w:val="466E5D36"/>
    <w:rsid w:val="467C5366"/>
    <w:rsid w:val="46895E30"/>
    <w:rsid w:val="46911DB1"/>
    <w:rsid w:val="46C40504"/>
    <w:rsid w:val="46F270C2"/>
    <w:rsid w:val="46F55FB3"/>
    <w:rsid w:val="46FB39B1"/>
    <w:rsid w:val="47014F61"/>
    <w:rsid w:val="47040901"/>
    <w:rsid w:val="47171A2D"/>
    <w:rsid w:val="47295FAD"/>
    <w:rsid w:val="472A5F61"/>
    <w:rsid w:val="474E2B64"/>
    <w:rsid w:val="47630CA3"/>
    <w:rsid w:val="47841A42"/>
    <w:rsid w:val="478627D8"/>
    <w:rsid w:val="478C2DB8"/>
    <w:rsid w:val="47A41A4C"/>
    <w:rsid w:val="47B83D7D"/>
    <w:rsid w:val="47C65F35"/>
    <w:rsid w:val="47D06A45"/>
    <w:rsid w:val="48217AE8"/>
    <w:rsid w:val="483D231C"/>
    <w:rsid w:val="48467096"/>
    <w:rsid w:val="485F7C33"/>
    <w:rsid w:val="48715843"/>
    <w:rsid w:val="487223BB"/>
    <w:rsid w:val="48967C7F"/>
    <w:rsid w:val="48FC7CD8"/>
    <w:rsid w:val="49016167"/>
    <w:rsid w:val="4913083A"/>
    <w:rsid w:val="493F7E1F"/>
    <w:rsid w:val="49521637"/>
    <w:rsid w:val="49755AE6"/>
    <w:rsid w:val="498B2DA7"/>
    <w:rsid w:val="4996276F"/>
    <w:rsid w:val="499B3198"/>
    <w:rsid w:val="49A20E37"/>
    <w:rsid w:val="49D679D5"/>
    <w:rsid w:val="49DD26C8"/>
    <w:rsid w:val="49E11E95"/>
    <w:rsid w:val="49EC208F"/>
    <w:rsid w:val="4A100374"/>
    <w:rsid w:val="4A187736"/>
    <w:rsid w:val="4A3C54A0"/>
    <w:rsid w:val="4A484A69"/>
    <w:rsid w:val="4A607280"/>
    <w:rsid w:val="4A7144FF"/>
    <w:rsid w:val="4A893F03"/>
    <w:rsid w:val="4A8D1027"/>
    <w:rsid w:val="4AA754A3"/>
    <w:rsid w:val="4AC60546"/>
    <w:rsid w:val="4AC97E97"/>
    <w:rsid w:val="4B446C39"/>
    <w:rsid w:val="4B491DEF"/>
    <w:rsid w:val="4B5C6F5D"/>
    <w:rsid w:val="4B6D2F19"/>
    <w:rsid w:val="4B816B6F"/>
    <w:rsid w:val="4BAF1A26"/>
    <w:rsid w:val="4BDB6EBD"/>
    <w:rsid w:val="4BDC3BFA"/>
    <w:rsid w:val="4BDF39A5"/>
    <w:rsid w:val="4BDF3FC2"/>
    <w:rsid w:val="4BEB36AC"/>
    <w:rsid w:val="4BF21670"/>
    <w:rsid w:val="4BF36DA3"/>
    <w:rsid w:val="4C083DEE"/>
    <w:rsid w:val="4C0A46D7"/>
    <w:rsid w:val="4C153F4B"/>
    <w:rsid w:val="4C301601"/>
    <w:rsid w:val="4C35155C"/>
    <w:rsid w:val="4C475253"/>
    <w:rsid w:val="4C4A14AC"/>
    <w:rsid w:val="4CAC7754"/>
    <w:rsid w:val="4CB844F9"/>
    <w:rsid w:val="4CD51273"/>
    <w:rsid w:val="4CDE38DC"/>
    <w:rsid w:val="4CDF29D1"/>
    <w:rsid w:val="4CDF6854"/>
    <w:rsid w:val="4CDF7E46"/>
    <w:rsid w:val="4CF13446"/>
    <w:rsid w:val="4D012457"/>
    <w:rsid w:val="4D0129DA"/>
    <w:rsid w:val="4D021D71"/>
    <w:rsid w:val="4D0510A3"/>
    <w:rsid w:val="4D061D96"/>
    <w:rsid w:val="4D0E63DC"/>
    <w:rsid w:val="4D2E2B7B"/>
    <w:rsid w:val="4D325489"/>
    <w:rsid w:val="4D330A1C"/>
    <w:rsid w:val="4D50522E"/>
    <w:rsid w:val="4D592D5F"/>
    <w:rsid w:val="4D88228C"/>
    <w:rsid w:val="4D8D4BAA"/>
    <w:rsid w:val="4D9E7EB7"/>
    <w:rsid w:val="4DAB7C53"/>
    <w:rsid w:val="4DAC0125"/>
    <w:rsid w:val="4DB061EB"/>
    <w:rsid w:val="4DF06305"/>
    <w:rsid w:val="4E1E2061"/>
    <w:rsid w:val="4E210DE5"/>
    <w:rsid w:val="4E2D79E8"/>
    <w:rsid w:val="4E4B4DE7"/>
    <w:rsid w:val="4E80410B"/>
    <w:rsid w:val="4E8A3AE7"/>
    <w:rsid w:val="4E997162"/>
    <w:rsid w:val="4EAB4A66"/>
    <w:rsid w:val="4EAE1649"/>
    <w:rsid w:val="4EB474F7"/>
    <w:rsid w:val="4EBA0219"/>
    <w:rsid w:val="4ED16510"/>
    <w:rsid w:val="4EE16E8A"/>
    <w:rsid w:val="4F067D2A"/>
    <w:rsid w:val="4F24737A"/>
    <w:rsid w:val="4F3D132B"/>
    <w:rsid w:val="4F3F2116"/>
    <w:rsid w:val="4F493C04"/>
    <w:rsid w:val="4F4D6A00"/>
    <w:rsid w:val="4F5B211F"/>
    <w:rsid w:val="4F642AE3"/>
    <w:rsid w:val="4F7351FB"/>
    <w:rsid w:val="4F965C55"/>
    <w:rsid w:val="4F9E55DF"/>
    <w:rsid w:val="4FBF0B87"/>
    <w:rsid w:val="4FC27ED3"/>
    <w:rsid w:val="4FDC23F8"/>
    <w:rsid w:val="4FE234DC"/>
    <w:rsid w:val="4FEB4D54"/>
    <w:rsid w:val="4FF82FCD"/>
    <w:rsid w:val="5009204D"/>
    <w:rsid w:val="500A5F84"/>
    <w:rsid w:val="50147A44"/>
    <w:rsid w:val="50202B03"/>
    <w:rsid w:val="502D0EE7"/>
    <w:rsid w:val="50567259"/>
    <w:rsid w:val="505D21F1"/>
    <w:rsid w:val="50663761"/>
    <w:rsid w:val="50854AF9"/>
    <w:rsid w:val="509546F1"/>
    <w:rsid w:val="509E5922"/>
    <w:rsid w:val="50A44D13"/>
    <w:rsid w:val="50A555B2"/>
    <w:rsid w:val="50A74A72"/>
    <w:rsid w:val="50B10007"/>
    <w:rsid w:val="50DA2B7D"/>
    <w:rsid w:val="50DE2D5A"/>
    <w:rsid w:val="510358DB"/>
    <w:rsid w:val="51041E8A"/>
    <w:rsid w:val="51131762"/>
    <w:rsid w:val="51163E4F"/>
    <w:rsid w:val="5131392B"/>
    <w:rsid w:val="514E4D77"/>
    <w:rsid w:val="51515731"/>
    <w:rsid w:val="516B5E39"/>
    <w:rsid w:val="5170588A"/>
    <w:rsid w:val="51747119"/>
    <w:rsid w:val="518E1AC4"/>
    <w:rsid w:val="51B85FF1"/>
    <w:rsid w:val="51C768FD"/>
    <w:rsid w:val="51EC53F1"/>
    <w:rsid w:val="520176CD"/>
    <w:rsid w:val="520E6AD8"/>
    <w:rsid w:val="5221339D"/>
    <w:rsid w:val="52520E4C"/>
    <w:rsid w:val="526D147A"/>
    <w:rsid w:val="528E4BB0"/>
    <w:rsid w:val="52934F12"/>
    <w:rsid w:val="52C11D9C"/>
    <w:rsid w:val="52CE54B1"/>
    <w:rsid w:val="52DE011C"/>
    <w:rsid w:val="53051C89"/>
    <w:rsid w:val="53060E61"/>
    <w:rsid w:val="5314011E"/>
    <w:rsid w:val="5322283B"/>
    <w:rsid w:val="53295166"/>
    <w:rsid w:val="532E35FF"/>
    <w:rsid w:val="53612F1F"/>
    <w:rsid w:val="536A463C"/>
    <w:rsid w:val="537179E8"/>
    <w:rsid w:val="539D45E9"/>
    <w:rsid w:val="53AC5F7A"/>
    <w:rsid w:val="53AD3227"/>
    <w:rsid w:val="53B22996"/>
    <w:rsid w:val="53B33E9C"/>
    <w:rsid w:val="53E06252"/>
    <w:rsid w:val="53E430CC"/>
    <w:rsid w:val="53FD0BB2"/>
    <w:rsid w:val="541955D4"/>
    <w:rsid w:val="541A0FC3"/>
    <w:rsid w:val="542E11B1"/>
    <w:rsid w:val="545B51ED"/>
    <w:rsid w:val="545D7AF5"/>
    <w:rsid w:val="547F673E"/>
    <w:rsid w:val="54902B7D"/>
    <w:rsid w:val="54926564"/>
    <w:rsid w:val="549B7FBB"/>
    <w:rsid w:val="54AF3EC8"/>
    <w:rsid w:val="54B47E4C"/>
    <w:rsid w:val="54D947C1"/>
    <w:rsid w:val="54D979A4"/>
    <w:rsid w:val="54EE3D63"/>
    <w:rsid w:val="55371863"/>
    <w:rsid w:val="55430A36"/>
    <w:rsid w:val="556E6D33"/>
    <w:rsid w:val="559A0AF4"/>
    <w:rsid w:val="55AF4AC8"/>
    <w:rsid w:val="55B10D30"/>
    <w:rsid w:val="55B94FAC"/>
    <w:rsid w:val="55C75D59"/>
    <w:rsid w:val="55FD16E3"/>
    <w:rsid w:val="56274A42"/>
    <w:rsid w:val="5655766B"/>
    <w:rsid w:val="565B0B33"/>
    <w:rsid w:val="56644F18"/>
    <w:rsid w:val="566D0241"/>
    <w:rsid w:val="56772E9D"/>
    <w:rsid w:val="569215CE"/>
    <w:rsid w:val="56AC365A"/>
    <w:rsid w:val="56C12676"/>
    <w:rsid w:val="56CC4D34"/>
    <w:rsid w:val="56D13454"/>
    <w:rsid w:val="56E7139A"/>
    <w:rsid w:val="56EC19B2"/>
    <w:rsid w:val="57030F8A"/>
    <w:rsid w:val="571F76A2"/>
    <w:rsid w:val="572956B9"/>
    <w:rsid w:val="576C6000"/>
    <w:rsid w:val="57847163"/>
    <w:rsid w:val="57C20EEB"/>
    <w:rsid w:val="57F200BD"/>
    <w:rsid w:val="57FB1655"/>
    <w:rsid w:val="58005114"/>
    <w:rsid w:val="585E004F"/>
    <w:rsid w:val="585E4574"/>
    <w:rsid w:val="58621F87"/>
    <w:rsid w:val="58695CAA"/>
    <w:rsid w:val="586B2293"/>
    <w:rsid w:val="5884456A"/>
    <w:rsid w:val="58990C3A"/>
    <w:rsid w:val="589E05DD"/>
    <w:rsid w:val="58A74466"/>
    <w:rsid w:val="58D04D66"/>
    <w:rsid w:val="58E15BCF"/>
    <w:rsid w:val="59320096"/>
    <w:rsid w:val="5939043E"/>
    <w:rsid w:val="59473404"/>
    <w:rsid w:val="5963064C"/>
    <w:rsid w:val="59694159"/>
    <w:rsid w:val="598170F9"/>
    <w:rsid w:val="59BF2177"/>
    <w:rsid w:val="59C12A02"/>
    <w:rsid w:val="5A117C06"/>
    <w:rsid w:val="5A15632F"/>
    <w:rsid w:val="5A2C0443"/>
    <w:rsid w:val="5A7124E5"/>
    <w:rsid w:val="5A8608DB"/>
    <w:rsid w:val="5AAE7DA0"/>
    <w:rsid w:val="5ACE5764"/>
    <w:rsid w:val="5AD3266C"/>
    <w:rsid w:val="5AF07801"/>
    <w:rsid w:val="5AFA14B2"/>
    <w:rsid w:val="5AFB3819"/>
    <w:rsid w:val="5B020D42"/>
    <w:rsid w:val="5B03274D"/>
    <w:rsid w:val="5B06766C"/>
    <w:rsid w:val="5B0D7959"/>
    <w:rsid w:val="5B10084C"/>
    <w:rsid w:val="5B131F7D"/>
    <w:rsid w:val="5B3667D7"/>
    <w:rsid w:val="5B5B3E4A"/>
    <w:rsid w:val="5B7A3634"/>
    <w:rsid w:val="5BBF47F9"/>
    <w:rsid w:val="5BC30933"/>
    <w:rsid w:val="5BD41AA1"/>
    <w:rsid w:val="5BD84EBD"/>
    <w:rsid w:val="5BDD53CB"/>
    <w:rsid w:val="5BDF4CE9"/>
    <w:rsid w:val="5BFD5A0E"/>
    <w:rsid w:val="5C001105"/>
    <w:rsid w:val="5C0679DC"/>
    <w:rsid w:val="5C0E0B67"/>
    <w:rsid w:val="5C402D47"/>
    <w:rsid w:val="5C441FDA"/>
    <w:rsid w:val="5C463473"/>
    <w:rsid w:val="5C4E0695"/>
    <w:rsid w:val="5C531EAD"/>
    <w:rsid w:val="5C72087C"/>
    <w:rsid w:val="5C9B621B"/>
    <w:rsid w:val="5CA11AC7"/>
    <w:rsid w:val="5CAA7F33"/>
    <w:rsid w:val="5CAD7BE2"/>
    <w:rsid w:val="5CD242B9"/>
    <w:rsid w:val="5CE0313A"/>
    <w:rsid w:val="5D0B2591"/>
    <w:rsid w:val="5D157126"/>
    <w:rsid w:val="5D1E1F46"/>
    <w:rsid w:val="5D3E5D08"/>
    <w:rsid w:val="5D450CE3"/>
    <w:rsid w:val="5D487023"/>
    <w:rsid w:val="5D5E6520"/>
    <w:rsid w:val="5D647FB8"/>
    <w:rsid w:val="5D7B1591"/>
    <w:rsid w:val="5DAF73C1"/>
    <w:rsid w:val="5DDC028E"/>
    <w:rsid w:val="5DF0315E"/>
    <w:rsid w:val="5E066D96"/>
    <w:rsid w:val="5E1E2ACE"/>
    <w:rsid w:val="5E3321F3"/>
    <w:rsid w:val="5E371164"/>
    <w:rsid w:val="5E9B1A0E"/>
    <w:rsid w:val="5EB67493"/>
    <w:rsid w:val="5F0A6093"/>
    <w:rsid w:val="5F3F265F"/>
    <w:rsid w:val="5F6A52E4"/>
    <w:rsid w:val="5F8B6AB0"/>
    <w:rsid w:val="5FB918EC"/>
    <w:rsid w:val="5FD15B2A"/>
    <w:rsid w:val="5FDA5D6D"/>
    <w:rsid w:val="5FDE3F8D"/>
    <w:rsid w:val="5FEE3F19"/>
    <w:rsid w:val="5FFE6179"/>
    <w:rsid w:val="60252B22"/>
    <w:rsid w:val="602B6AA7"/>
    <w:rsid w:val="604A22AC"/>
    <w:rsid w:val="606667B1"/>
    <w:rsid w:val="606C6AF4"/>
    <w:rsid w:val="607071F7"/>
    <w:rsid w:val="6073061F"/>
    <w:rsid w:val="608230C4"/>
    <w:rsid w:val="60940AAA"/>
    <w:rsid w:val="60BA408C"/>
    <w:rsid w:val="60D64C64"/>
    <w:rsid w:val="60E72355"/>
    <w:rsid w:val="6111156B"/>
    <w:rsid w:val="61112FDF"/>
    <w:rsid w:val="616C3E03"/>
    <w:rsid w:val="616F3310"/>
    <w:rsid w:val="61723CB5"/>
    <w:rsid w:val="617D5C9E"/>
    <w:rsid w:val="61803628"/>
    <w:rsid w:val="618669DC"/>
    <w:rsid w:val="61946FF9"/>
    <w:rsid w:val="61962238"/>
    <w:rsid w:val="619F537A"/>
    <w:rsid w:val="61A707B4"/>
    <w:rsid w:val="622156A8"/>
    <w:rsid w:val="62455CE7"/>
    <w:rsid w:val="62503459"/>
    <w:rsid w:val="629A2C88"/>
    <w:rsid w:val="629D2B59"/>
    <w:rsid w:val="62AB1444"/>
    <w:rsid w:val="62C231BD"/>
    <w:rsid w:val="631505B9"/>
    <w:rsid w:val="631A352E"/>
    <w:rsid w:val="63493693"/>
    <w:rsid w:val="634A1C8A"/>
    <w:rsid w:val="634C4D60"/>
    <w:rsid w:val="63520443"/>
    <w:rsid w:val="6372727F"/>
    <w:rsid w:val="63A14DDA"/>
    <w:rsid w:val="63B52322"/>
    <w:rsid w:val="63BC7685"/>
    <w:rsid w:val="63C026C8"/>
    <w:rsid w:val="63CB017C"/>
    <w:rsid w:val="63CD3A9C"/>
    <w:rsid w:val="63D41F55"/>
    <w:rsid w:val="63E63F91"/>
    <w:rsid w:val="641E5C31"/>
    <w:rsid w:val="64217F75"/>
    <w:rsid w:val="64242AC2"/>
    <w:rsid w:val="643E6B67"/>
    <w:rsid w:val="644138A9"/>
    <w:rsid w:val="644C6B1A"/>
    <w:rsid w:val="64995451"/>
    <w:rsid w:val="64B32E51"/>
    <w:rsid w:val="64DD2A65"/>
    <w:rsid w:val="64F71851"/>
    <w:rsid w:val="651266BE"/>
    <w:rsid w:val="65255E38"/>
    <w:rsid w:val="65526FCE"/>
    <w:rsid w:val="65831215"/>
    <w:rsid w:val="65956E9C"/>
    <w:rsid w:val="659B46FC"/>
    <w:rsid w:val="65A54817"/>
    <w:rsid w:val="65BF5254"/>
    <w:rsid w:val="65CB1CCB"/>
    <w:rsid w:val="65EA7846"/>
    <w:rsid w:val="65FD2C1E"/>
    <w:rsid w:val="66167444"/>
    <w:rsid w:val="661E1452"/>
    <w:rsid w:val="665A4468"/>
    <w:rsid w:val="66627AD7"/>
    <w:rsid w:val="66912825"/>
    <w:rsid w:val="669915AF"/>
    <w:rsid w:val="66B40810"/>
    <w:rsid w:val="66DA3FFA"/>
    <w:rsid w:val="66E51CB4"/>
    <w:rsid w:val="66F026B5"/>
    <w:rsid w:val="670B334A"/>
    <w:rsid w:val="6712270B"/>
    <w:rsid w:val="67596300"/>
    <w:rsid w:val="67814F2D"/>
    <w:rsid w:val="67D21713"/>
    <w:rsid w:val="67DC130D"/>
    <w:rsid w:val="67E36BA4"/>
    <w:rsid w:val="67E769D0"/>
    <w:rsid w:val="67EE164B"/>
    <w:rsid w:val="680406AD"/>
    <w:rsid w:val="683E548D"/>
    <w:rsid w:val="68495AE0"/>
    <w:rsid w:val="68826453"/>
    <w:rsid w:val="688309D9"/>
    <w:rsid w:val="68A51161"/>
    <w:rsid w:val="68CD153F"/>
    <w:rsid w:val="68EC4AF0"/>
    <w:rsid w:val="690227A3"/>
    <w:rsid w:val="69362279"/>
    <w:rsid w:val="694E541A"/>
    <w:rsid w:val="69563E85"/>
    <w:rsid w:val="69602F2B"/>
    <w:rsid w:val="69720B3E"/>
    <w:rsid w:val="697D4BE8"/>
    <w:rsid w:val="697F5196"/>
    <w:rsid w:val="69901C7E"/>
    <w:rsid w:val="699622E4"/>
    <w:rsid w:val="699A75B0"/>
    <w:rsid w:val="69B70512"/>
    <w:rsid w:val="69E11A67"/>
    <w:rsid w:val="69E536E8"/>
    <w:rsid w:val="69E86EDD"/>
    <w:rsid w:val="69ED4F5D"/>
    <w:rsid w:val="69EF6B51"/>
    <w:rsid w:val="69F525FF"/>
    <w:rsid w:val="69FF522C"/>
    <w:rsid w:val="6A1E1C39"/>
    <w:rsid w:val="6A2064AF"/>
    <w:rsid w:val="6A571CB5"/>
    <w:rsid w:val="6A95413A"/>
    <w:rsid w:val="6AC55569"/>
    <w:rsid w:val="6AF11527"/>
    <w:rsid w:val="6B0F4348"/>
    <w:rsid w:val="6B350F9A"/>
    <w:rsid w:val="6B5770F4"/>
    <w:rsid w:val="6B5B24E0"/>
    <w:rsid w:val="6B856193"/>
    <w:rsid w:val="6B957985"/>
    <w:rsid w:val="6BBB0470"/>
    <w:rsid w:val="6BBB556A"/>
    <w:rsid w:val="6BCB32B8"/>
    <w:rsid w:val="6BCB543B"/>
    <w:rsid w:val="6BD87D10"/>
    <w:rsid w:val="6C125260"/>
    <w:rsid w:val="6C283C8C"/>
    <w:rsid w:val="6C4B20D2"/>
    <w:rsid w:val="6C5F227A"/>
    <w:rsid w:val="6C7312B2"/>
    <w:rsid w:val="6C803034"/>
    <w:rsid w:val="6C856AA7"/>
    <w:rsid w:val="6C8B1C0B"/>
    <w:rsid w:val="6C950FF2"/>
    <w:rsid w:val="6C9F2CF6"/>
    <w:rsid w:val="6CDA15F7"/>
    <w:rsid w:val="6CE666F5"/>
    <w:rsid w:val="6CE96810"/>
    <w:rsid w:val="6D0A2721"/>
    <w:rsid w:val="6D2E5E42"/>
    <w:rsid w:val="6D3E7348"/>
    <w:rsid w:val="6D40627D"/>
    <w:rsid w:val="6D4B71C0"/>
    <w:rsid w:val="6D4F14C8"/>
    <w:rsid w:val="6D5A3608"/>
    <w:rsid w:val="6D6C2341"/>
    <w:rsid w:val="6D82046B"/>
    <w:rsid w:val="6DA37B61"/>
    <w:rsid w:val="6DAB1FE4"/>
    <w:rsid w:val="6DC8597A"/>
    <w:rsid w:val="6DE415DF"/>
    <w:rsid w:val="6E02568E"/>
    <w:rsid w:val="6E0E3776"/>
    <w:rsid w:val="6E152981"/>
    <w:rsid w:val="6E277A3D"/>
    <w:rsid w:val="6E43321A"/>
    <w:rsid w:val="6E4A3871"/>
    <w:rsid w:val="6E546B28"/>
    <w:rsid w:val="6E565CBE"/>
    <w:rsid w:val="6E5E7860"/>
    <w:rsid w:val="6E667AAA"/>
    <w:rsid w:val="6E99441B"/>
    <w:rsid w:val="6E9C5C38"/>
    <w:rsid w:val="6EAE4AC9"/>
    <w:rsid w:val="6EC529B1"/>
    <w:rsid w:val="6ED3622C"/>
    <w:rsid w:val="6F135FCF"/>
    <w:rsid w:val="6F213E96"/>
    <w:rsid w:val="6F303E25"/>
    <w:rsid w:val="6F3F7769"/>
    <w:rsid w:val="6F414BB3"/>
    <w:rsid w:val="6F541B76"/>
    <w:rsid w:val="6F721D86"/>
    <w:rsid w:val="6F840FCB"/>
    <w:rsid w:val="6F9B1581"/>
    <w:rsid w:val="6FB85B43"/>
    <w:rsid w:val="6FE3539B"/>
    <w:rsid w:val="6FF15617"/>
    <w:rsid w:val="700F4B82"/>
    <w:rsid w:val="701206DD"/>
    <w:rsid w:val="703060B6"/>
    <w:rsid w:val="70472E55"/>
    <w:rsid w:val="7062065C"/>
    <w:rsid w:val="706978A3"/>
    <w:rsid w:val="70A71F0A"/>
    <w:rsid w:val="70B54896"/>
    <w:rsid w:val="70C56888"/>
    <w:rsid w:val="70E379D0"/>
    <w:rsid w:val="70E61AAC"/>
    <w:rsid w:val="70ED4030"/>
    <w:rsid w:val="70FE7904"/>
    <w:rsid w:val="71080167"/>
    <w:rsid w:val="711D669F"/>
    <w:rsid w:val="712F4B90"/>
    <w:rsid w:val="713360A4"/>
    <w:rsid w:val="7145465B"/>
    <w:rsid w:val="71457398"/>
    <w:rsid w:val="714A7BC4"/>
    <w:rsid w:val="714F4C19"/>
    <w:rsid w:val="71507048"/>
    <w:rsid w:val="71646B34"/>
    <w:rsid w:val="71776135"/>
    <w:rsid w:val="717A781F"/>
    <w:rsid w:val="7193128B"/>
    <w:rsid w:val="71AD5E58"/>
    <w:rsid w:val="71C06DB9"/>
    <w:rsid w:val="71C86B08"/>
    <w:rsid w:val="71DF5120"/>
    <w:rsid w:val="71E01DE7"/>
    <w:rsid w:val="71E97354"/>
    <w:rsid w:val="71EB53D0"/>
    <w:rsid w:val="71F62521"/>
    <w:rsid w:val="72267070"/>
    <w:rsid w:val="724A27C8"/>
    <w:rsid w:val="728A4C3F"/>
    <w:rsid w:val="729A1B5D"/>
    <w:rsid w:val="729C0F2E"/>
    <w:rsid w:val="729D35BC"/>
    <w:rsid w:val="729E5A2A"/>
    <w:rsid w:val="72C94629"/>
    <w:rsid w:val="72EC6569"/>
    <w:rsid w:val="72F30C91"/>
    <w:rsid w:val="72F96D3A"/>
    <w:rsid w:val="73020280"/>
    <w:rsid w:val="73090EC9"/>
    <w:rsid w:val="73237C74"/>
    <w:rsid w:val="73506AF8"/>
    <w:rsid w:val="735F1894"/>
    <w:rsid w:val="736C0A23"/>
    <w:rsid w:val="736D3206"/>
    <w:rsid w:val="73950591"/>
    <w:rsid w:val="739C7544"/>
    <w:rsid w:val="73AD7AA7"/>
    <w:rsid w:val="73B301E2"/>
    <w:rsid w:val="73C52404"/>
    <w:rsid w:val="73C82201"/>
    <w:rsid w:val="73C95425"/>
    <w:rsid w:val="73D56FFD"/>
    <w:rsid w:val="740E15F6"/>
    <w:rsid w:val="74186738"/>
    <w:rsid w:val="74261016"/>
    <w:rsid w:val="743E2DF5"/>
    <w:rsid w:val="74445F14"/>
    <w:rsid w:val="744E0FD2"/>
    <w:rsid w:val="744E2ACD"/>
    <w:rsid w:val="746647B9"/>
    <w:rsid w:val="746C4A34"/>
    <w:rsid w:val="74752266"/>
    <w:rsid w:val="748A530D"/>
    <w:rsid w:val="7492547C"/>
    <w:rsid w:val="7499513D"/>
    <w:rsid w:val="74A517F6"/>
    <w:rsid w:val="74B25BE2"/>
    <w:rsid w:val="74C47192"/>
    <w:rsid w:val="74DA3167"/>
    <w:rsid w:val="74EF0C4B"/>
    <w:rsid w:val="74F57957"/>
    <w:rsid w:val="74FC653C"/>
    <w:rsid w:val="75220020"/>
    <w:rsid w:val="75374E13"/>
    <w:rsid w:val="755F6903"/>
    <w:rsid w:val="75667918"/>
    <w:rsid w:val="757840E4"/>
    <w:rsid w:val="757F0693"/>
    <w:rsid w:val="7597745A"/>
    <w:rsid w:val="75A3685A"/>
    <w:rsid w:val="75A711D2"/>
    <w:rsid w:val="75B44D6F"/>
    <w:rsid w:val="75EA4FE2"/>
    <w:rsid w:val="760065B4"/>
    <w:rsid w:val="76112CA4"/>
    <w:rsid w:val="76431F65"/>
    <w:rsid w:val="767A4FF2"/>
    <w:rsid w:val="76842995"/>
    <w:rsid w:val="768A5A5D"/>
    <w:rsid w:val="76AA5B5C"/>
    <w:rsid w:val="76D6102E"/>
    <w:rsid w:val="772C1B6B"/>
    <w:rsid w:val="773E06EB"/>
    <w:rsid w:val="774911C4"/>
    <w:rsid w:val="774E5481"/>
    <w:rsid w:val="774F7CDC"/>
    <w:rsid w:val="77806951"/>
    <w:rsid w:val="77AF3BE3"/>
    <w:rsid w:val="77BB72B1"/>
    <w:rsid w:val="77F44109"/>
    <w:rsid w:val="77F45CC1"/>
    <w:rsid w:val="77FC086D"/>
    <w:rsid w:val="77FF3740"/>
    <w:rsid w:val="782C5DA2"/>
    <w:rsid w:val="783764D9"/>
    <w:rsid w:val="786D7515"/>
    <w:rsid w:val="787163DB"/>
    <w:rsid w:val="789304B1"/>
    <w:rsid w:val="789814B5"/>
    <w:rsid w:val="789E007C"/>
    <w:rsid w:val="78E505CD"/>
    <w:rsid w:val="78F50225"/>
    <w:rsid w:val="79054516"/>
    <w:rsid w:val="798167A6"/>
    <w:rsid w:val="79817FD4"/>
    <w:rsid w:val="7985077C"/>
    <w:rsid w:val="798D34EC"/>
    <w:rsid w:val="79A71817"/>
    <w:rsid w:val="79B81E29"/>
    <w:rsid w:val="7A0E215B"/>
    <w:rsid w:val="7A140880"/>
    <w:rsid w:val="7A796F16"/>
    <w:rsid w:val="7A7A549F"/>
    <w:rsid w:val="7A7E03EF"/>
    <w:rsid w:val="7ABA7864"/>
    <w:rsid w:val="7ADF2DCB"/>
    <w:rsid w:val="7AE31DA6"/>
    <w:rsid w:val="7AE74766"/>
    <w:rsid w:val="7AEA07C8"/>
    <w:rsid w:val="7AF21BE6"/>
    <w:rsid w:val="7AFD6B98"/>
    <w:rsid w:val="7B0140A7"/>
    <w:rsid w:val="7B0E52D3"/>
    <w:rsid w:val="7B212370"/>
    <w:rsid w:val="7B282890"/>
    <w:rsid w:val="7B4B4402"/>
    <w:rsid w:val="7B5E5649"/>
    <w:rsid w:val="7B741EFF"/>
    <w:rsid w:val="7B790771"/>
    <w:rsid w:val="7B855018"/>
    <w:rsid w:val="7B8B685A"/>
    <w:rsid w:val="7B9C6F89"/>
    <w:rsid w:val="7B9D0110"/>
    <w:rsid w:val="7BAA558F"/>
    <w:rsid w:val="7BAE35F5"/>
    <w:rsid w:val="7BBE630C"/>
    <w:rsid w:val="7BC11ED0"/>
    <w:rsid w:val="7BDB6A47"/>
    <w:rsid w:val="7BE87704"/>
    <w:rsid w:val="7BFD3595"/>
    <w:rsid w:val="7C217E59"/>
    <w:rsid w:val="7C232FFC"/>
    <w:rsid w:val="7C345209"/>
    <w:rsid w:val="7C4B1906"/>
    <w:rsid w:val="7C4E7FEA"/>
    <w:rsid w:val="7C5173E7"/>
    <w:rsid w:val="7C6D2C3B"/>
    <w:rsid w:val="7C9123DF"/>
    <w:rsid w:val="7C952456"/>
    <w:rsid w:val="7CC117DF"/>
    <w:rsid w:val="7CC26A28"/>
    <w:rsid w:val="7CDD758D"/>
    <w:rsid w:val="7CE30CDD"/>
    <w:rsid w:val="7CF84488"/>
    <w:rsid w:val="7D2D66CC"/>
    <w:rsid w:val="7D315490"/>
    <w:rsid w:val="7D33619C"/>
    <w:rsid w:val="7D6424F4"/>
    <w:rsid w:val="7D735F89"/>
    <w:rsid w:val="7D7A4E9D"/>
    <w:rsid w:val="7D7D4366"/>
    <w:rsid w:val="7D811D11"/>
    <w:rsid w:val="7DB14E32"/>
    <w:rsid w:val="7DBC147D"/>
    <w:rsid w:val="7E152E18"/>
    <w:rsid w:val="7E170096"/>
    <w:rsid w:val="7E2519A8"/>
    <w:rsid w:val="7E2F0355"/>
    <w:rsid w:val="7E3C65F7"/>
    <w:rsid w:val="7E4733AD"/>
    <w:rsid w:val="7E584AD2"/>
    <w:rsid w:val="7E5E47BF"/>
    <w:rsid w:val="7E8D4386"/>
    <w:rsid w:val="7EC14D73"/>
    <w:rsid w:val="7ECF24BD"/>
    <w:rsid w:val="7EFF1D47"/>
    <w:rsid w:val="7F15678E"/>
    <w:rsid w:val="7F2826D7"/>
    <w:rsid w:val="7F283FEE"/>
    <w:rsid w:val="7F2C1347"/>
    <w:rsid w:val="7F2C592A"/>
    <w:rsid w:val="7F2F6F09"/>
    <w:rsid w:val="7F47250C"/>
    <w:rsid w:val="7F592169"/>
    <w:rsid w:val="7F684675"/>
    <w:rsid w:val="7F7469A5"/>
    <w:rsid w:val="7FF3753F"/>
    <w:rsid w:val="7FFE37A8"/>
    <w:rsid w:val="F37F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TW"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firstLine="883" w:firstLineChars="200"/>
      <w:outlineLvl w:val="0"/>
    </w:pPr>
    <w:rPr>
      <w:rFonts w:eastAsia="黑体" w:asciiTheme="minorAscii" w:hAnsiTheme="minorAscii"/>
      <w:kern w:val="44"/>
      <w:sz w:val="28"/>
    </w:rPr>
  </w:style>
  <w:style w:type="paragraph" w:styleId="4">
    <w:name w:val="heading 2"/>
    <w:basedOn w:val="1"/>
    <w:next w:val="1"/>
    <w:qFormat/>
    <w:uiPriority w:val="9"/>
    <w:pPr>
      <w:keepNext/>
      <w:keepLines/>
      <w:spacing w:before="260" w:after="260" w:line="416" w:lineRule="auto"/>
      <w:outlineLvl w:val="1"/>
    </w:pPr>
    <w:rPr>
      <w:rFonts w:ascii="Cambria" w:hAnsi="Cambria" w:eastAsia="宋体"/>
      <w:b/>
      <w:bCs/>
      <w:kern w:val="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character" w:customStyle="1" w:styleId="19">
    <w:name w:val="font11"/>
    <w:basedOn w:val="14"/>
    <w:qFormat/>
    <w:uiPriority w:val="0"/>
    <w:rPr>
      <w:rFonts w:hint="eastAsia" w:ascii="宋体" w:hAnsi="宋体" w:eastAsia="宋体" w:cs="宋体"/>
      <w:color w:val="000000"/>
      <w:sz w:val="20"/>
      <w:szCs w:val="20"/>
      <w:u w:val="none"/>
    </w:rPr>
  </w:style>
  <w:style w:type="character" w:customStyle="1" w:styleId="20">
    <w:name w:val="font21"/>
    <w:basedOn w:val="14"/>
    <w:qFormat/>
    <w:uiPriority w:val="0"/>
    <w:rPr>
      <w:rFonts w:ascii="Arial" w:hAnsi="Arial" w:cs="Arial"/>
      <w:color w:val="000000"/>
      <w:sz w:val="20"/>
      <w:szCs w:val="20"/>
      <w:u w:val="none"/>
    </w:rPr>
  </w:style>
  <w:style w:type="character" w:customStyle="1" w:styleId="21">
    <w:name w:val="font3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9283</Words>
  <Characters>9789</Characters>
  <Lines>0</Lines>
  <Paragraphs>0</Paragraphs>
  <TotalTime>16</TotalTime>
  <ScaleCrop>false</ScaleCrop>
  <LinksUpToDate>false</LinksUpToDate>
  <CharactersWithSpaces>9871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2020-10-01T09:00:00Z</dcterms:created>
  <dc:creator>Qiaoyang</dc:creator>
  <cp:lastModifiedBy>user</cp:lastModifiedBy>
  <cp:lastPrinted>2022-08-03T11:27:00Z</cp:lastPrinted>
  <dcterms:modified xsi:type="dcterms:W3CDTF">2024-08-30T13:53:39Z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A1D4221AE9CD4C338997C7C8A4F9CEFF</vt:lpwstr>
  </property>
</Properties>
</file>