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黑体" w:hAnsi="黑体" w:eastAsia="黑体" w:cs="黑体"/>
          <w:kern w:val="0"/>
          <w:sz w:val="32"/>
          <w:szCs w:val="32"/>
          <w:lang w:eastAsia="zh-CN"/>
        </w:rPr>
      </w:pPr>
    </w:p>
    <w:p>
      <w:pPr>
        <w:pStyle w:val="2"/>
        <w:rPr>
          <w:rFonts w:hint="default"/>
          <w:sz w:val="32"/>
          <w:szCs w:val="32"/>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方正小标宋简体" w:hAnsi="方正小标宋简体" w:eastAsia="方正小标宋简体" w:cs="方正小标宋简体"/>
          <w:b w:val="0"/>
          <w:bCs w:val="0"/>
          <w:sz w:val="40"/>
          <w:szCs w:val="44"/>
          <w:highlight w:val="none"/>
          <w:lang w:val="en-US" w:eastAsia="zh-CN"/>
        </w:rPr>
      </w:pPr>
      <w:r>
        <w:rPr>
          <w:rFonts w:hint="eastAsia" w:ascii="方正小标宋简体" w:hAnsi="方正小标宋简体" w:eastAsia="方正小标宋简体" w:cs="方正小标宋简体"/>
          <w:b w:val="0"/>
          <w:bCs w:val="0"/>
          <w:sz w:val="40"/>
          <w:szCs w:val="44"/>
          <w:highlight w:val="none"/>
          <w:lang w:val="en-US" w:eastAsia="zh-CN"/>
        </w:rPr>
        <w:t>本溪</w:t>
      </w:r>
      <w:r>
        <w:rPr>
          <w:rFonts w:hint="eastAsia" w:ascii="方正小标宋简体" w:hAnsi="方正小标宋简体" w:eastAsia="方正小标宋简体" w:cs="方正小标宋简体"/>
          <w:b w:val="0"/>
          <w:bCs w:val="0"/>
          <w:sz w:val="40"/>
          <w:szCs w:val="44"/>
          <w:highlight w:val="none"/>
          <w:lang w:eastAsia="zh-CN"/>
        </w:rPr>
        <w:t>市</w:t>
      </w:r>
      <w:r>
        <w:rPr>
          <w:rFonts w:hint="eastAsia" w:ascii="方正小标宋简体" w:hAnsi="方正小标宋简体" w:eastAsia="方正小标宋简体" w:cs="方正小标宋简体"/>
          <w:b w:val="0"/>
          <w:bCs w:val="0"/>
          <w:sz w:val="40"/>
          <w:szCs w:val="44"/>
          <w:highlight w:val="none"/>
          <w:lang w:val="en-US" w:eastAsia="zh-CN"/>
        </w:rPr>
        <w:t>南芬区水美乡村生态建设项目</w:t>
      </w:r>
    </w:p>
    <w:p>
      <w:pPr>
        <w:jc w:val="center"/>
        <w:rPr>
          <w:rFonts w:ascii="黑体" w:hAnsi="黑体" w:eastAsia="黑体" w:cs="黑体"/>
          <w:sz w:val="44"/>
          <w:szCs w:val="36"/>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方正小标宋简体" w:hAnsi="仿宋" w:eastAsia="方正小标宋简体"/>
          <w:sz w:val="72"/>
          <w:szCs w:val="96"/>
          <w:highlight w:val="none"/>
          <w:lang w:val="en-US" w:eastAsia="zh-CN"/>
        </w:rPr>
      </w:pPr>
      <w:r>
        <w:rPr>
          <w:rFonts w:hint="eastAsia" w:ascii="方正小标宋简体" w:hAnsi="仿宋" w:eastAsia="方正小标宋简体"/>
          <w:sz w:val="72"/>
          <w:szCs w:val="96"/>
          <w:highlight w:val="none"/>
          <w:lang w:eastAsia="zh-CN"/>
        </w:rPr>
        <w:t>绩效评价</w:t>
      </w:r>
      <w:r>
        <w:rPr>
          <w:rFonts w:hint="eastAsia" w:ascii="方正小标宋简体" w:hAnsi="仿宋" w:eastAsia="方正小标宋简体"/>
          <w:sz w:val="72"/>
          <w:szCs w:val="96"/>
          <w:highlight w:val="none"/>
          <w:lang w:val="en-US" w:eastAsia="zh-CN"/>
        </w:rPr>
        <w:t>报告</w:t>
      </w: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pStyle w:val="9"/>
        <w:adjustRightInd w:val="0"/>
        <w:snapToGrid w:val="0"/>
        <w:spacing w:before="0" w:beforeAutospacing="0" w:after="0" w:afterAutospacing="0"/>
        <w:jc w:val="left"/>
        <w:rPr>
          <w:rFonts w:hint="eastAsia" w:ascii="仿宋_GB2312" w:hAnsi="仿宋_GB2312" w:eastAsia="仿宋_GB2312" w:cs="仿宋_GB2312"/>
          <w:b/>
          <w:bCs/>
          <w:sz w:val="32"/>
          <w:szCs w:val="32"/>
          <w:shd w:val="clear" w:color="auto" w:fill="FFFFFF"/>
          <w:lang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outlineLvl w:val="9"/>
        <w:rPr>
          <w:rFonts w:hint="eastAsia" w:ascii="黑体" w:hAnsi="黑体" w:eastAsia="黑体" w:cs="黑体"/>
          <w:spacing w:val="-3"/>
          <w:sz w:val="36"/>
          <w:szCs w:val="36"/>
          <w:lang w:val="en-US" w:eastAsia="zh-CN"/>
        </w:rPr>
      </w:pPr>
      <w:r>
        <w:rPr>
          <w:rFonts w:hint="eastAsia" w:ascii="黑体" w:hAnsi="黑体" w:eastAsia="黑体" w:cs="黑体"/>
          <w:spacing w:val="-3"/>
          <w:sz w:val="36"/>
          <w:szCs w:val="36"/>
          <w:lang w:val="en-US" w:eastAsia="zh-CN"/>
        </w:rPr>
        <w:t>目  录</w:t>
      </w:r>
    </w:p>
    <w:p>
      <w:pPr>
        <w:pStyle w:val="2"/>
        <w:rPr>
          <w:rFonts w:hint="eastAsia"/>
          <w:lang w:val="en-US" w:eastAsia="zh-CN"/>
        </w:rPr>
      </w:pP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TOC \o "1-2" \h \u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_Toc13359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一、基本情况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_Toc13359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_Toc2096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（一）项目概况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_Toc2096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_Toc27427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（二）项目绩效目标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_Toc27427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_Toc17426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二、绩效评价工作开展情况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_Toc17426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_Toc6108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（一）绩效评价目的、对象和范围</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_Toc6108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_Toc5354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（二）绩效评价原则、评价方法、评价指标体系</w:t>
      </w:r>
      <w:r>
        <w:rPr>
          <w:rFonts w:hint="default" w:ascii="Times New Roman" w:hAnsi="Times New Roman" w:eastAsia="楷体_GB2312" w:cs="Times New Roman"/>
          <w:spacing w:val="-13"/>
          <w:sz w:val="28"/>
          <w:szCs w:val="28"/>
          <w:lang w:val="en-US" w:eastAsia="zh-CN"/>
        </w:rPr>
        <w:t>及</w:t>
      </w:r>
      <w:r>
        <w:rPr>
          <w:rFonts w:hint="default" w:ascii="Times New Roman" w:hAnsi="Times New Roman" w:eastAsia="楷体_GB2312" w:cs="Times New Roman"/>
          <w:spacing w:val="-13"/>
          <w:sz w:val="28"/>
          <w:szCs w:val="28"/>
        </w:rPr>
        <w:t>评价标准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_Toc5354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_Toc14322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（三）绩效评价工作过程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_Toc14322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_Toc13811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三、综合评价情况及评价结论</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_Toc13811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_Toc9616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3"/>
          <w:sz w:val="28"/>
          <w:szCs w:val="28"/>
        </w:rPr>
        <w:t>四、绩效评价指标分析</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_Toc9616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_Toc32013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（一）项目决策方面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_Toc32013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_Toc6667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（二）项目</w:t>
      </w:r>
      <w:r>
        <w:rPr>
          <w:rFonts w:hint="default" w:ascii="Times New Roman" w:hAnsi="Times New Roman" w:eastAsia="楷体_GB2312" w:cs="Times New Roman"/>
          <w:spacing w:val="-13"/>
          <w:sz w:val="28"/>
          <w:szCs w:val="28"/>
          <w:lang w:val="en-US" w:eastAsia="zh-CN"/>
        </w:rPr>
        <w:t>过程</w:t>
      </w:r>
      <w:r>
        <w:rPr>
          <w:rFonts w:hint="default" w:ascii="Times New Roman" w:hAnsi="Times New Roman" w:eastAsia="楷体_GB2312" w:cs="Times New Roman"/>
          <w:spacing w:val="-13"/>
          <w:sz w:val="28"/>
          <w:szCs w:val="28"/>
        </w:rPr>
        <w:t>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_Toc6667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_Toc21851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（三）项目产出情况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_Toc21851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_Toc13952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spacing w:val="-13"/>
          <w:sz w:val="28"/>
          <w:szCs w:val="28"/>
        </w:rPr>
        <w:t>（四）项目效益情况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_Toc13952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_Toc15368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2"/>
          <w:sz w:val="28"/>
          <w:szCs w:val="28"/>
        </w:rPr>
        <w:t>五、主要经验及做法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_Toc15368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_Toc18937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（一）三级联动成合力，保障工作做到位</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_Toc18937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_Toc14393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（二）多措并举筹资金，杠杆撬动作用大</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_Toc14393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_Toc2605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（三）践行以人为本，共享政策红利</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_Toc2605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_Toc20330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bCs w:val="0"/>
          <w:spacing w:val="-2"/>
          <w:sz w:val="28"/>
          <w:szCs w:val="28"/>
          <w:lang w:val="en-US" w:eastAsia="zh-CN"/>
        </w:rPr>
        <w:t>六、存在问题</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_Toc20330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_Toc23258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（一）项目预算绩效管理工作不到位，绩效管理意识有待提升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_Toc23258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_Toc16836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（二）部分资金拨付不及时，预算执行缓慢</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_Toc16836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_Toc24899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（三）财务管理不规范，精细化程度不足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_Toc24899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24</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_Toc30268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（四）佐证材料不充分，项目效益难凸显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_Toc30268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7"/>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_Toc19554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黑体" w:cs="Times New Roman"/>
          <w:spacing w:val="-2"/>
          <w:sz w:val="28"/>
          <w:szCs w:val="28"/>
          <w:lang w:val="en-US" w:eastAsia="zh-CN"/>
        </w:rPr>
        <w:t>七</w:t>
      </w:r>
      <w:r>
        <w:rPr>
          <w:rFonts w:hint="default" w:ascii="Times New Roman" w:hAnsi="Times New Roman" w:eastAsia="黑体" w:cs="Times New Roman"/>
          <w:spacing w:val="-2"/>
          <w:sz w:val="28"/>
          <w:szCs w:val="28"/>
        </w:rPr>
        <w:t>、有关建议</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_Toc19554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_Toc31854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（一）加强预算绩效管理，不断提升管理意识</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_Toc31854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_Toc16321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（二）及时拨付财政资金，切实发挥资金效益</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_Toc16321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_Toc31380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（三）加强财务管理，助力政策落实落地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_Toc31380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8"/>
        <w:keepNext w:val="0"/>
        <w:keepLines w:val="0"/>
        <w:pageBreakBefore w:val="0"/>
        <w:tabs>
          <w:tab w:val="right" w:leader="dot" w:pos="8306"/>
        </w:tabs>
        <w:kinsoku w:val="0"/>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sz w:val="28"/>
          <w:szCs w:val="28"/>
        </w:rPr>
      </w:pP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\l _Toc32291 </w:instrText>
      </w:r>
      <w:r>
        <w:rPr>
          <w:rFonts w:hint="default" w:ascii="Times New Roman" w:hAnsi="Times New Roman" w:cs="Times New Roman"/>
          <w:sz w:val="28"/>
          <w:szCs w:val="28"/>
          <w:lang w:val="en-US" w:eastAsia="zh-CN"/>
        </w:rPr>
        <w:fldChar w:fldCharType="separate"/>
      </w:r>
      <w:r>
        <w:rPr>
          <w:rFonts w:hint="default" w:ascii="Times New Roman" w:hAnsi="Times New Roman" w:eastAsia="楷体_GB2312" w:cs="Times New Roman"/>
          <w:bCs w:val="0"/>
          <w:snapToGrid w:val="0"/>
          <w:spacing w:val="-2"/>
          <w:kern w:val="0"/>
          <w:sz w:val="28"/>
          <w:szCs w:val="28"/>
          <w:lang w:val="en-US" w:eastAsia="zh-CN"/>
        </w:rPr>
        <w:t>（四）强化过程管理，不断突显项目效益</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_Toc32291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fldChar w:fldCharType="end"/>
      </w:r>
    </w:p>
    <w:p>
      <w:pPr>
        <w:pStyle w:val="2"/>
        <w:keepNext w:val="0"/>
        <w:keepLines w:val="0"/>
        <w:pageBreakBefore w:val="0"/>
        <w:kinsoku w:val="0"/>
        <w:wordWrap/>
        <w:overflowPunct/>
        <w:topLinePunct w:val="0"/>
        <w:autoSpaceDE w:val="0"/>
        <w:autoSpaceDN w:val="0"/>
        <w:bidi w:val="0"/>
        <w:adjustRightInd w:val="0"/>
        <w:snapToGrid w:val="0"/>
        <w:spacing w:line="360" w:lineRule="auto"/>
        <w:textAlignment w:val="baseline"/>
        <w:rPr>
          <w:rFonts w:hint="eastAsia"/>
          <w:lang w:val="en-US" w:eastAsia="zh-CN"/>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cs="Times New Roman"/>
          <w:sz w:val="28"/>
          <w:szCs w:val="28"/>
          <w:lang w:val="en-US" w:eastAsia="zh-CN"/>
        </w:rPr>
        <w:fldChar w:fldCharType="end"/>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z w:val="32"/>
          <w:szCs w:val="32"/>
        </w:rPr>
      </w:pPr>
      <w:bookmarkStart w:id="0" w:name="_Toc13359"/>
      <w:r>
        <w:rPr>
          <w:rFonts w:ascii="黑体" w:hAnsi="黑体" w:eastAsia="黑体" w:cs="黑体"/>
          <w:spacing w:val="-3"/>
          <w:sz w:val="32"/>
          <w:szCs w:val="32"/>
        </w:rPr>
        <w:t>一、基本情况</w:t>
      </w:r>
      <w:bookmarkEnd w:id="0"/>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1" w:name="_Toc2096"/>
      <w:r>
        <w:rPr>
          <w:rFonts w:hint="eastAsia" w:ascii="楷体_GB2312" w:hAnsi="楷体_GB2312" w:eastAsia="楷体_GB2312" w:cs="楷体_GB2312"/>
          <w:spacing w:val="-13"/>
          <w:sz w:val="32"/>
          <w:szCs w:val="32"/>
        </w:rPr>
        <w:t>（一）项目概况</w:t>
      </w:r>
      <w:bookmarkEnd w:id="1"/>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1.项目背景</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2019年10月11日，水利部、财政部下发了《关于开展水系连通及农村水系综合整治试点工作的通知》，最终确定全国55个第一批水系连通及农村水系综合整治试点县名单，其中辽宁省喀左县和盘山县纳入试点县名单，通过一年来工程实施，治理范围内水系面貌有了很大改善，初步达到了预期治理效果。据此，2021年中央一号文件中将“实施水系连通及农村水系综合整治，强化河湖长制”作为加快推进农业现代化的重要举措之一，在“十四五”期间启动实施。2021年4月，水利部规划计划司及财政部农业农村局联合下发了《关于开展2021年水系连通及水美乡村建设试点的通知》,要求在将“水系连通及农村水系综合整治试点”更名为“水系连通及水美乡村建设试点”的同时，继续开展2021年新一轮试点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辽宁省水利厅在省政府统一部署下，以水系连通及水美乡村建设试点项目为契机，大力推进农村现代化改革，提出了以县区为单元，将地方政府积极性高、投资水生态环境效益显著、前期基础条件好、河湖管理机制完善、行业部门协同有力、资金整合能力强的项目地区优先安排纳入试点建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南芬区政府高度重视贯彻落实中央文件精神和省政府、省水利厅部署要求，积极主动争取水系连通建设项目。区政府带头认真总结，要求各部门各地方形成合力，借助地区的自然资源和产业优势，有效合理融合财政投入和社会资本，加大配套投资力度，为项目申报和争取工作创造最优基础条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_GB2312" w:hAnsi="仿宋_GB2312" w:eastAsia="仿宋_GB2312" w:cs="仿宋_GB2312"/>
          <w:b/>
          <w:bCs/>
          <w:spacing w:val="-3"/>
          <w:sz w:val="32"/>
          <w:szCs w:val="32"/>
          <w:lang w:val="en-US" w:eastAsia="zh-CN"/>
        </w:rPr>
      </w:pPr>
      <w:r>
        <w:rPr>
          <w:rFonts w:hint="eastAsia" w:ascii="仿宋_GB2312" w:hAnsi="仿宋_GB2312" w:eastAsia="仿宋_GB2312" w:cs="仿宋_GB2312"/>
          <w:b/>
          <w:bCs/>
          <w:spacing w:val="-3"/>
          <w:sz w:val="32"/>
          <w:szCs w:val="32"/>
          <w:lang w:val="en-US" w:eastAsia="zh-CN"/>
        </w:rPr>
        <w:t>2.主要内容及实施情况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（1）项目主要内容</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南芬区水系连通及水美乡村建设试点县项目主要包括水利项目和景观人文、防污控污项目两大部分。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水利项目：包括全域河道管护项目、南芬区流域水质达标一期工程、冷水鱼种质资源工程、三台子水土保持示范区项目、水保林修复项目、三道河源头区水源涵养综合治理工程、杨木沟水系连通综合整治工程、小流域综合治理项目、三道河（桦树甸子-南台子段）治理工程、南芬区城区防洪沟综合整治项目和长山河八道沟河口防洪应急项目等11个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防污控污、景观人文项目：包括化肥减量（有机肥推广）项目、杨木沟城外鱼庄少数民族旅游特色发展项目、林场景区旅游基础设施项目、本溪鸿顺旅游有限公司溪泉鱼庄项目、流域环境综合整治项目、本宽线甬子峪河口避让工程项目、村组滨河路网工程项目和三道河乡村振兴项目（虹鳟鱼展销中心）等8个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（2）项目实施情况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2月，南芬区政府委托专业机构编制实施方案；4月，省水利厅和财政厅组织竞争立项评审，南芬区排名第一进入水利部、财政部推荐名单；6月，水利部、财政部印发通知确定本溪市南芬区作为全国第二批水系连通及水美乡村建设试点县；同月，省水利厅对南芬区实施方案进行了批复；8月，南芬区农业农村局组织完成项目具体实施方案技术审查和批复。</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5月，南芬区政府批复成立项目法人单位。7月-8月，通过招标采购确定全过程工程咨询服务单位；8月-9月，招标采购EPC总承包单位，签订EPC总承包合同。12月前，其他项目陆续由区农业农村局、交通局、林业局、生态环境局、文旅局等招标采购实施。</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2021年9月项目正式开工建设，于2022年12月基本建成，截至2023年6月30日完成全部收尾工作。水系连通及水美乡村项目以及全域河道管护项目共43个分部工程、8个单位工程、一个合同工程，已完成合同工程完工验收，正在做竣工验收准备工作。</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水利项目中，三道河（桦树甸子-南台子段）治理工程，已完成合同工程完工验收，正在做竣工验收准备工作；南芬区流域水质达标一期工程已完成竣工验收；冷水鱼种质资源工程、三台子水土保持示范区项目、水保林修复项目、三道河源头区水源涵养综合治理工程、杨木沟水系连通综合整治工程、小流域综合治理项目、水毁修复工程项目、南芬区城区防洪沟综合整治项目等已完成全部建设任务，正在组织验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highlight w:val="none"/>
          <w:lang w:val="en-US" w:eastAsia="zh-CN"/>
        </w:rPr>
      </w:pPr>
      <w:r>
        <w:rPr>
          <w:rFonts w:hint="eastAsia" w:ascii="仿宋_GB2312" w:hAnsi="仿宋_GB2312" w:eastAsia="仿宋_GB2312" w:cs="仿宋_GB2312"/>
          <w:spacing w:val="-3"/>
          <w:sz w:val="32"/>
          <w:szCs w:val="32"/>
          <w:highlight w:val="none"/>
          <w:lang w:val="en-US" w:eastAsia="zh-CN"/>
        </w:rPr>
        <w:t>景观人文、防污控污项目中，化肥减量（有机肥推广）项目、杨木沟城外鱼庄少数民族旅游特色发展项目、林场景区旅游基础设施项目等8个项目已完成全部建设任务，正在组织验收。</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1" w:firstLineChars="200"/>
        <w:textAlignment w:val="baseline"/>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3.资金投入及使用情况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default"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（1）资金投入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本工程计划总投资为3.9032亿元，其中水利项目总投资3.0063亿元，防污控污、景观人文项目总投资0.8969亿元。水利部分，其中建筑工程投资23,276.28万元、机电设备及安装工程33.6万元、金属结构及设备安装工程145.37万元、施工临时工程1,378.75万元、独立费用2,496.15万元、预备费2,733.01万元。非水利工程部分，其中防污控污投资3,308万元，景观人文投资5,661万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（2）资金来源</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水利工程项目总投资3.0063亿元，争取国家资金1.2亿元，地方自筹1.8063亿元。地方自筹部分吸引社会资本0.75亿元，其余部分1.0563亿元。防污控污、景观人文工程总投资0.8969亿元，其中各级财政资金支持0.3024亿元，引入社会资本资金0.5945亿元。</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default"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（3）资金支出</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spacing w:val="-3"/>
          <w:sz w:val="32"/>
          <w:szCs w:val="32"/>
          <w:lang w:val="en-US" w:eastAsia="zh-CN"/>
        </w:rPr>
        <w:t>本工程实际支出35,238.4万元，支付率为90.28%，其中水利项目支出26,937.08万元，支付率为89.60%；非水利项目支出8,301.32万元，支付率为92.55%，其中景观人文支出4993万元，支付率88.20%，防污控污支出3308.32万元，支付率100%。详见表1-1。</w:t>
      </w:r>
    </w:p>
    <w:p>
      <w:pPr>
        <w:pStyle w:val="2"/>
        <w:rPr>
          <w:rFonts w:hint="eastAsia" w:ascii="仿宋_GB2312" w:hAnsi="仿宋_GB2312" w:eastAsia="仿宋_GB2312" w:cs="仿宋_GB2312"/>
          <w:spacing w:val="-3"/>
          <w:sz w:val="32"/>
          <w:szCs w:val="32"/>
          <w:lang w:val="en-US" w:eastAsia="zh-CN"/>
        </w:rPr>
      </w:pPr>
    </w:p>
    <w:p>
      <w:pPr>
        <w:pStyle w:val="2"/>
        <w:rPr>
          <w:rFonts w:hint="eastAsia" w:ascii="仿宋_GB2312" w:hAnsi="仿宋_GB2312" w:eastAsia="仿宋_GB2312" w:cs="仿宋_GB2312"/>
          <w:spacing w:val="-3"/>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黑体" w:hAnsi="黑体" w:eastAsia="黑体" w:cs="黑体"/>
          <w:spacing w:val="-3"/>
          <w:sz w:val="24"/>
          <w:szCs w:val="24"/>
          <w:lang w:val="en-US" w:eastAsia="zh-CN"/>
        </w:rPr>
      </w:pPr>
      <w:r>
        <w:rPr>
          <w:rFonts w:hint="eastAsia" w:ascii="黑体" w:hAnsi="黑体" w:eastAsia="黑体" w:cs="黑体"/>
          <w:spacing w:val="-3"/>
          <w:sz w:val="24"/>
          <w:szCs w:val="24"/>
          <w:lang w:val="en-US" w:eastAsia="zh-CN"/>
        </w:rPr>
        <w:t>表1-1 项目资金情况汇总列表</w:t>
      </w:r>
    </w:p>
    <w:tbl>
      <w:tblPr>
        <w:tblStyle w:val="11"/>
        <w:tblW w:w="8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1546"/>
        <w:gridCol w:w="1433"/>
        <w:gridCol w:w="1535"/>
        <w:gridCol w:w="1527"/>
        <w:gridCol w:w="14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90" w:hRule="atLeast"/>
          <w:tblHeader/>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文件名称</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批复（万元）</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到位（万元）</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支付（万元）</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支付率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水利措施</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17500</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17500</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14965.8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85.52%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水利配套</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12562.81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12562.81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11971.28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30062.81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30062.81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26937.08</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景观人文</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5661</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5661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4993</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3308.32</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5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8969.32</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8969.32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8301.32</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0" w:hRule="atLeast"/>
          <w:jc w:val="center"/>
        </w:trPr>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合 计</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39032.13</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39032.13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35238.40</w:t>
            </w:r>
          </w:p>
        </w:tc>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Chars="200"/>
              <w:jc w:val="both"/>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90.28%</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lang w:val="en-US" w:eastAsia="zh-CN"/>
        </w:rPr>
        <w:t>数据来源：辽宁省南芬区水系连通及水美乡村建设试点县终期评估自评报告</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2" w:name="_Toc27427"/>
      <w:r>
        <w:rPr>
          <w:rFonts w:hint="eastAsia" w:ascii="楷体_GB2312" w:hAnsi="楷体_GB2312" w:eastAsia="楷体_GB2312" w:cs="楷体_GB2312"/>
          <w:spacing w:val="-13"/>
          <w:sz w:val="32"/>
          <w:szCs w:val="32"/>
        </w:rPr>
        <w:t>（二）项目绩效目标</w:t>
      </w:r>
      <w:bookmarkEnd w:id="2"/>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48" w:firstLineChars="200"/>
        <w:jc w:val="both"/>
        <w:textAlignment w:val="baseline"/>
        <w:rPr>
          <w:rFonts w:hint="eastAsia" w:ascii="仿宋_GB2312" w:hAnsi="仿宋_GB2312" w:eastAsia="仿宋_GB2312" w:cs="仿宋_GB2312"/>
          <w:spacing w:val="-13"/>
          <w:sz w:val="30"/>
          <w:szCs w:val="30"/>
          <w:lang w:eastAsia="zh-CN"/>
        </w:rPr>
      </w:pPr>
      <w:r>
        <w:rPr>
          <w:rFonts w:hint="eastAsia" w:ascii="仿宋_GB2312" w:hAnsi="仿宋_GB2312" w:eastAsia="仿宋_GB2312" w:cs="仿宋_GB2312"/>
          <w:spacing w:val="-13"/>
          <w:sz w:val="30"/>
          <w:szCs w:val="30"/>
        </w:rPr>
        <w:t>按照乡村振兴战略提出的“产业兴旺、生态宜居、乡风文明、治理有效、生活富裕”总要求，针对南芬区现状农村水系存在的突出问题，以区域为单元，以河流为脉络，以街道或村庄为节点，紧密结合南芬区“生态立区、工业强区、文旅兴区”战略，通过采取行之有效的水系连通、河道清淤清障、岸坡整治、面域水源涵养与水土保持、河湖管护等措施，恢复农村河湖基本功能、修复河道空间形态、提升河湖水环境质量，实现南芬区农村水系“水安全保障能力全面提高、水污染治理和防控逐步规范、水生态恢复和保护水平稳中有升、乡村水环境质量大幅改善、本土水文化挖掘与展示小有所成、</w:t>
      </w:r>
      <w:r>
        <w:rPr>
          <w:rFonts w:hint="eastAsia" w:ascii="仿宋_GB2312" w:hAnsi="仿宋_GB2312" w:eastAsia="仿宋_GB2312" w:cs="仿宋_GB2312"/>
          <w:spacing w:val="-13"/>
          <w:sz w:val="30"/>
          <w:szCs w:val="30"/>
          <w:lang w:eastAsia="zh-CN"/>
        </w:rPr>
        <w:t>创新型</w:t>
      </w:r>
      <w:r>
        <w:rPr>
          <w:rFonts w:hint="eastAsia" w:ascii="仿宋_GB2312" w:hAnsi="仿宋_GB2312" w:eastAsia="仿宋_GB2312" w:cs="仿宋_GB2312"/>
          <w:spacing w:val="-13"/>
          <w:sz w:val="30"/>
          <w:szCs w:val="30"/>
        </w:rPr>
        <w:t>水管理模式基本形成、特色水经济推动作用初步呈现”的总体目标，建设河畅、水清、岸绿、景美的水美乡村</w:t>
      </w:r>
      <w:r>
        <w:rPr>
          <w:rFonts w:hint="eastAsia" w:ascii="仿宋_GB2312" w:hAnsi="仿宋_GB2312" w:eastAsia="仿宋_GB2312" w:cs="仿宋_GB2312"/>
          <w:spacing w:val="-13"/>
          <w:sz w:val="30"/>
          <w:szCs w:val="30"/>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3" w:name="_Toc17426"/>
      <w:r>
        <w:rPr>
          <w:rFonts w:ascii="黑体" w:hAnsi="黑体" w:eastAsia="黑体" w:cs="黑体"/>
          <w:spacing w:val="-3"/>
          <w:sz w:val="32"/>
          <w:szCs w:val="32"/>
        </w:rPr>
        <w:t>二、绩效评价工作开展情况</w:t>
      </w:r>
      <w:bookmarkEnd w:id="3"/>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4" w:name="_Toc6108"/>
      <w:r>
        <w:rPr>
          <w:rFonts w:hint="eastAsia" w:ascii="楷体_GB2312" w:hAnsi="楷体_GB2312" w:eastAsia="楷体_GB2312" w:cs="楷体_GB2312"/>
          <w:spacing w:val="-13"/>
          <w:sz w:val="32"/>
          <w:szCs w:val="32"/>
        </w:rPr>
        <w:t>（一）绩效评价目的、对象和范围</w:t>
      </w:r>
      <w:bookmarkEnd w:id="4"/>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3" w:firstLineChars="200"/>
        <w:textAlignment w:val="baseline"/>
        <w:rPr>
          <w:rFonts w:hint="eastAsia" w:ascii="仿宋" w:hAnsi="仿宋" w:eastAsia="仿宋" w:cs="仿宋"/>
          <w:b/>
          <w:bCs/>
          <w:spacing w:val="-5"/>
          <w:sz w:val="32"/>
          <w:szCs w:val="32"/>
          <w:lang w:val="en-US" w:eastAsia="zh-CN"/>
        </w:rPr>
      </w:pPr>
      <w:r>
        <w:rPr>
          <w:rFonts w:hint="eastAsia" w:ascii="仿宋" w:hAnsi="仿宋" w:eastAsia="仿宋" w:cs="仿宋"/>
          <w:b/>
          <w:bCs/>
          <w:spacing w:val="-5"/>
          <w:sz w:val="32"/>
          <w:szCs w:val="32"/>
          <w:lang w:val="en-US" w:eastAsia="zh-CN"/>
        </w:rPr>
        <w:t>1.评价目的</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0" w:firstLineChars="200"/>
        <w:jc w:val="both"/>
        <w:textAlignment w:val="baseline"/>
        <w:rPr>
          <w:rFonts w:hint="eastAsia" w:ascii="仿宋_GB2312" w:hAnsi="仿宋_GB2312" w:eastAsia="仿宋_GB2312" w:cs="仿宋_GB2312"/>
          <w:spacing w:val="-5"/>
          <w:sz w:val="32"/>
          <w:szCs w:val="32"/>
          <w:lang w:val="en-US" w:eastAsia="zh-CN"/>
        </w:rPr>
      </w:pPr>
      <w:r>
        <w:rPr>
          <w:rFonts w:hint="eastAsia" w:ascii="仿宋_GB2312" w:hAnsi="仿宋_GB2312" w:eastAsia="仿宋_GB2312" w:cs="仿宋_GB2312"/>
          <w:spacing w:val="-5"/>
          <w:sz w:val="32"/>
          <w:szCs w:val="32"/>
          <w:lang w:val="en-US" w:eastAsia="zh-CN"/>
        </w:rPr>
        <w:t>本次绩效评价通过对项目可行性研究报告、实施方案和各级部门审核意见等资料的分析，全面阐述项目实施范围、资金投入、完工验收进度，目的在于评价一般债务资金的是否到位、项目预算支出规范程度、项目目标完成程度、项目实施过程的亮点工作、经验及存在的困难与不足等，并根据困难与不足提出可行性对策和建议，为同类项目实施提供参考。</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3" w:firstLineChars="200"/>
        <w:textAlignment w:val="baseline"/>
        <w:rPr>
          <w:rFonts w:hint="eastAsia" w:ascii="仿宋_GB2312" w:hAnsi="仿宋_GB2312" w:eastAsia="仿宋_GB2312" w:cs="仿宋_GB2312"/>
          <w:b/>
          <w:bCs/>
          <w:spacing w:val="-5"/>
          <w:sz w:val="32"/>
          <w:szCs w:val="32"/>
          <w:lang w:val="en-US" w:eastAsia="zh-CN"/>
        </w:rPr>
      </w:pPr>
      <w:r>
        <w:rPr>
          <w:rFonts w:hint="eastAsia" w:ascii="仿宋_GB2312" w:hAnsi="仿宋_GB2312" w:eastAsia="仿宋_GB2312" w:cs="仿宋_GB2312"/>
          <w:b/>
          <w:bCs/>
          <w:spacing w:val="-5"/>
          <w:sz w:val="32"/>
          <w:szCs w:val="32"/>
          <w:lang w:val="en-US" w:eastAsia="zh-CN"/>
        </w:rPr>
        <w:t>2.评价对象和范围</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20" w:firstLineChars="200"/>
        <w:jc w:val="both"/>
        <w:textAlignment w:val="baseline"/>
        <w:rPr>
          <w:rFonts w:hint="eastAsia" w:ascii="仿宋_GB2312" w:hAnsi="仿宋_GB2312" w:eastAsia="仿宋_GB2312" w:cs="仿宋_GB2312"/>
          <w:spacing w:val="-5"/>
          <w:sz w:val="32"/>
          <w:szCs w:val="32"/>
          <w:lang w:val="en-US" w:eastAsia="zh-CN"/>
        </w:rPr>
      </w:pPr>
      <w:r>
        <w:rPr>
          <w:rFonts w:hint="eastAsia" w:ascii="仿宋_GB2312" w:hAnsi="仿宋_GB2312" w:eastAsia="仿宋_GB2312" w:cs="仿宋_GB2312"/>
          <w:spacing w:val="-5"/>
          <w:sz w:val="32"/>
          <w:szCs w:val="32"/>
          <w:lang w:val="en-US" w:eastAsia="zh-CN"/>
        </w:rPr>
        <w:t>本次绩效评价的对象为本溪市南芬区</w:t>
      </w:r>
      <w:r>
        <w:rPr>
          <w:rFonts w:hint="eastAsia" w:ascii="仿宋_GB2312" w:hAnsi="仿宋_GB2312" w:eastAsia="仿宋_GB2312" w:cs="仿宋_GB2312"/>
          <w:spacing w:val="-3"/>
          <w:sz w:val="32"/>
          <w:szCs w:val="32"/>
          <w:lang w:val="en-US" w:eastAsia="zh-CN"/>
        </w:rPr>
        <w:t>水系连通及水美乡村建设试点项目。评价范围为项目的整个周期，自2021年9月至2023年6月。</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5" w:name="_Toc5354"/>
      <w:r>
        <w:rPr>
          <w:rFonts w:hint="eastAsia" w:ascii="楷体_GB2312" w:hAnsi="楷体_GB2312" w:eastAsia="楷体_GB2312" w:cs="楷体_GB2312"/>
          <w:spacing w:val="-13"/>
          <w:sz w:val="32"/>
          <w:szCs w:val="32"/>
        </w:rPr>
        <w:t>（二）绩效评价原则、评价方法、评价指标体系</w:t>
      </w:r>
      <w:r>
        <w:rPr>
          <w:rFonts w:hint="eastAsia" w:ascii="楷体_GB2312" w:hAnsi="楷体_GB2312" w:eastAsia="楷体_GB2312" w:cs="楷体_GB2312"/>
          <w:spacing w:val="-13"/>
          <w:sz w:val="32"/>
          <w:szCs w:val="32"/>
          <w:lang w:val="en-US" w:eastAsia="zh-CN"/>
        </w:rPr>
        <w:t>及</w:t>
      </w:r>
      <w:r>
        <w:rPr>
          <w:rFonts w:hint="eastAsia" w:ascii="楷体_GB2312" w:hAnsi="楷体_GB2312" w:eastAsia="楷体_GB2312" w:cs="楷体_GB2312"/>
          <w:spacing w:val="-13"/>
          <w:sz w:val="32"/>
          <w:szCs w:val="32"/>
        </w:rPr>
        <w:t>评价标准</w:t>
      </w:r>
      <w:bookmarkEnd w:id="5"/>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1.评价原则</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科学公正。</w:t>
      </w:r>
      <w:r>
        <w:rPr>
          <w:rFonts w:hint="eastAsia" w:ascii="仿宋_GB2312" w:hAnsi="仿宋_GB2312" w:eastAsia="仿宋_GB2312" w:cs="仿宋_GB2312"/>
          <w:spacing w:val="-2"/>
          <w:sz w:val="32"/>
          <w:szCs w:val="32"/>
          <w:lang w:val="en-US" w:eastAsia="zh-CN"/>
        </w:rPr>
        <w:t>本次评价运用科学的评价程序、方式方法，规范设计绩效评价指标体系，对项目绩效进行客观、公正的反映。</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注重整体。</w:t>
      </w:r>
      <w:r>
        <w:rPr>
          <w:rFonts w:hint="eastAsia" w:ascii="仿宋_GB2312" w:hAnsi="仿宋_GB2312" w:eastAsia="仿宋_GB2312" w:cs="仿宋_GB2312"/>
          <w:spacing w:val="-2"/>
          <w:sz w:val="32"/>
          <w:szCs w:val="32"/>
          <w:lang w:val="en-US" w:eastAsia="zh-CN"/>
        </w:rPr>
        <w:t>项目应围绕整体工程建设情况和资金支出总额，不仅关注于一般债务资金，从整体层面分析项目实施的成效和亮点，存在的问题及建议。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突出重点。</w:t>
      </w:r>
      <w:r>
        <w:rPr>
          <w:rFonts w:hint="eastAsia" w:ascii="仿宋_GB2312" w:hAnsi="仿宋_GB2312" w:eastAsia="仿宋_GB2312" w:cs="仿宋_GB2312"/>
          <w:spacing w:val="-2"/>
          <w:sz w:val="32"/>
          <w:szCs w:val="32"/>
          <w:lang w:val="en-US" w:eastAsia="zh-CN"/>
        </w:rPr>
        <w:t>在综合考量项目总体实施和资金支出情况的基础上，评价还应突出重点，紧紧围绕项目完工进度和工程质量等开展工作，重点关注项目实施为区域生态环境改善和提升带来的积极影响。</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2.评价方法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2"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spacing w:val="-2"/>
          <w:sz w:val="32"/>
          <w:szCs w:val="32"/>
          <w:lang w:val="en-US" w:eastAsia="zh-CN"/>
        </w:rPr>
        <w:t>项目评价包含但不限于以下几种方法：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成本效益分析法。</w:t>
      </w:r>
      <w:r>
        <w:rPr>
          <w:rFonts w:hint="eastAsia" w:ascii="仿宋_GB2312" w:hAnsi="仿宋_GB2312" w:eastAsia="仿宋_GB2312" w:cs="仿宋_GB2312"/>
          <w:spacing w:val="-2"/>
          <w:sz w:val="32"/>
          <w:szCs w:val="32"/>
          <w:lang w:val="en-US" w:eastAsia="zh-CN"/>
        </w:rPr>
        <w:t>是指将投入与产出、效益进行关联性分析的方法。</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比较法。</w:t>
      </w:r>
      <w:r>
        <w:rPr>
          <w:rFonts w:hint="eastAsia" w:ascii="仿宋_GB2312" w:hAnsi="仿宋_GB2312" w:eastAsia="仿宋_GB2312" w:cs="仿宋_GB2312"/>
          <w:spacing w:val="-2"/>
          <w:sz w:val="32"/>
          <w:szCs w:val="32"/>
          <w:lang w:val="en-US" w:eastAsia="zh-CN"/>
        </w:rPr>
        <w:t>将项目实施情况与绩效目标情况进行比较，客观反映项目执行情况及存在的优势和不足，为进一步实施提供参考依据。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公众评判法。</w:t>
      </w:r>
      <w:r>
        <w:rPr>
          <w:rFonts w:hint="eastAsia" w:ascii="仿宋_GB2312" w:hAnsi="仿宋_GB2312" w:eastAsia="仿宋_GB2312" w:cs="仿宋_GB2312"/>
          <w:spacing w:val="-2"/>
          <w:sz w:val="32"/>
          <w:szCs w:val="32"/>
          <w:lang w:val="en-US" w:eastAsia="zh-CN"/>
        </w:rPr>
        <w:t>是指通过专家评审、公众问卷及抽样调查等方式进行评判的方法。项目通过聘请绩效领域专家，阅读分析项目相关资料，对项目的评价指标体系及总体结论给出相应的意见建议。通过公众问卷及开展抽样调查，对评价对象做出客观评判。</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座谈访谈法。</w:t>
      </w:r>
      <w:r>
        <w:rPr>
          <w:rFonts w:hint="eastAsia" w:ascii="仿宋_GB2312" w:hAnsi="仿宋_GB2312" w:eastAsia="仿宋_GB2312" w:cs="仿宋_GB2312"/>
          <w:spacing w:val="-2"/>
          <w:sz w:val="32"/>
          <w:szCs w:val="32"/>
          <w:lang w:val="en-US" w:eastAsia="zh-CN"/>
        </w:rPr>
        <w:t>现场与南芬区农业农村局、项目管理部等相关部门进行深入沟通交流，实事求是检查衡量其工作产出和效益情况、财务资金管理情况、业务管理情况。同时，听取利益相关方的意见和观点，核实相关信息和数据。</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5" w:firstLineChars="200"/>
        <w:jc w:val="both"/>
        <w:textAlignment w:val="baseline"/>
        <w:rPr>
          <w:rFonts w:hint="eastAsia" w:ascii="仿宋_GB2312" w:hAnsi="仿宋_GB2312" w:eastAsia="仿宋_GB2312" w:cs="仿宋_GB2312"/>
          <w:b/>
          <w:bCs/>
          <w:spacing w:val="-2"/>
          <w:sz w:val="32"/>
          <w:szCs w:val="32"/>
          <w:lang w:val="en-US" w:eastAsia="zh-CN"/>
        </w:rPr>
      </w:pPr>
      <w:r>
        <w:rPr>
          <w:rFonts w:hint="eastAsia" w:ascii="仿宋_GB2312" w:hAnsi="仿宋_GB2312" w:eastAsia="仿宋_GB2312" w:cs="仿宋_GB2312"/>
          <w:b/>
          <w:bCs/>
          <w:spacing w:val="-2"/>
          <w:sz w:val="32"/>
          <w:szCs w:val="32"/>
          <w:lang w:val="en-US" w:eastAsia="zh-CN"/>
        </w:rPr>
        <w:t>3.评价指标体系及评价标准</w:t>
      </w:r>
    </w:p>
    <w:p>
      <w:pPr>
        <w:pStyle w:val="3"/>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32" w:firstLineChars="200"/>
        <w:jc w:val="both"/>
        <w:textAlignment w:val="baseline"/>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spacing w:val="-2"/>
          <w:sz w:val="32"/>
          <w:szCs w:val="32"/>
          <w:lang w:val="en-US" w:eastAsia="zh-CN"/>
        </w:rPr>
        <w:t>本次设计的绩效评价指标体系包括4项一级指标、11项二级指标、22项三级指标，指标分值满分为100分。指标围绕决策、过程、产出和效益四个维度进行评价：</w:t>
      </w:r>
      <w:r>
        <w:rPr>
          <w:rFonts w:hint="eastAsia" w:ascii="仿宋_GB2312" w:hAnsi="仿宋_GB2312" w:eastAsia="仿宋_GB2312" w:cs="仿宋_GB2312"/>
          <w:b/>
          <w:bCs/>
          <w:spacing w:val="-2"/>
          <w:sz w:val="32"/>
          <w:szCs w:val="32"/>
          <w:lang w:val="en-US" w:eastAsia="zh-CN"/>
        </w:rPr>
        <w:t>一是决策（16分）</w:t>
      </w:r>
      <w:r>
        <w:rPr>
          <w:rFonts w:hint="eastAsia" w:ascii="仿宋_GB2312" w:hAnsi="仿宋_GB2312" w:eastAsia="仿宋_GB2312" w:cs="仿宋_GB2312"/>
          <w:spacing w:val="-2"/>
          <w:sz w:val="32"/>
          <w:szCs w:val="32"/>
          <w:lang w:val="en-US" w:eastAsia="zh-CN"/>
        </w:rPr>
        <w:t>，主要评价项目决策科学性和绩效目标、指标设定情况；</w:t>
      </w:r>
      <w:r>
        <w:rPr>
          <w:rFonts w:hint="eastAsia" w:ascii="仿宋_GB2312" w:hAnsi="仿宋_GB2312" w:eastAsia="仿宋_GB2312" w:cs="仿宋_GB2312"/>
          <w:b/>
          <w:bCs/>
          <w:spacing w:val="-2"/>
          <w:sz w:val="32"/>
          <w:szCs w:val="32"/>
          <w:lang w:val="en-US" w:eastAsia="zh-CN"/>
        </w:rPr>
        <w:t>二是过程（24分）</w:t>
      </w:r>
      <w:r>
        <w:rPr>
          <w:rFonts w:hint="eastAsia" w:ascii="仿宋_GB2312" w:hAnsi="仿宋_GB2312" w:eastAsia="仿宋_GB2312" w:cs="仿宋_GB2312"/>
          <w:spacing w:val="-2"/>
          <w:sz w:val="32"/>
          <w:szCs w:val="32"/>
          <w:lang w:val="en-US" w:eastAsia="zh-CN"/>
        </w:rPr>
        <w:t>，主要围绕财务和业务管理制度建设和执行、资金到位和使用以及过程监管等环节开展评价；</w:t>
      </w:r>
      <w:r>
        <w:rPr>
          <w:rFonts w:hint="eastAsia" w:ascii="仿宋_GB2312" w:hAnsi="仿宋_GB2312" w:eastAsia="仿宋_GB2312" w:cs="仿宋_GB2312"/>
          <w:b/>
          <w:bCs/>
          <w:spacing w:val="-2"/>
          <w:sz w:val="32"/>
          <w:szCs w:val="32"/>
          <w:lang w:val="en-US" w:eastAsia="zh-CN"/>
        </w:rPr>
        <w:t>三是产出（30分）</w:t>
      </w:r>
      <w:r>
        <w:rPr>
          <w:rFonts w:hint="eastAsia" w:ascii="仿宋_GB2312" w:hAnsi="仿宋_GB2312" w:eastAsia="仿宋_GB2312" w:cs="仿宋_GB2312"/>
          <w:spacing w:val="-2"/>
          <w:sz w:val="32"/>
          <w:szCs w:val="32"/>
          <w:lang w:val="en-US" w:eastAsia="zh-CN"/>
        </w:rPr>
        <w:t>，主要评价工程建设实施和验收情况，如项目完工率、工程质量优良率等；</w:t>
      </w:r>
      <w:r>
        <w:rPr>
          <w:rFonts w:hint="eastAsia" w:ascii="仿宋_GB2312" w:hAnsi="仿宋_GB2312" w:eastAsia="仿宋_GB2312" w:cs="仿宋_GB2312"/>
          <w:b/>
          <w:bCs/>
          <w:spacing w:val="-2"/>
          <w:sz w:val="32"/>
          <w:szCs w:val="32"/>
          <w:lang w:val="en-US" w:eastAsia="zh-CN"/>
        </w:rPr>
        <w:t>四是效益（30分），</w:t>
      </w:r>
      <w:r>
        <w:rPr>
          <w:rFonts w:hint="eastAsia" w:ascii="仿宋_GB2312" w:hAnsi="仿宋_GB2312" w:eastAsia="仿宋_GB2312" w:cs="仿宋_GB2312"/>
          <w:spacing w:val="-2"/>
          <w:sz w:val="32"/>
          <w:szCs w:val="32"/>
          <w:lang w:val="en-US" w:eastAsia="zh-CN"/>
        </w:rPr>
        <w:t>主要评价预算项目所产生的经济效益、社会效益、生态效益以及项目所在区域民众对工程建设的满意程度等。指标见下表（详见附件1）。</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outlineLvl w:val="9"/>
        <w:rPr>
          <w:rFonts w:hint="eastAsia" w:ascii="黑体" w:hAnsi="黑体" w:eastAsia="黑体" w:cs="黑体"/>
          <w:spacing w:val="-13"/>
          <w:sz w:val="24"/>
          <w:szCs w:val="24"/>
          <w:lang w:val="en-US" w:eastAsia="zh-CN"/>
        </w:rPr>
      </w:pPr>
      <w:r>
        <w:rPr>
          <w:rFonts w:hint="eastAsia" w:ascii="黑体" w:hAnsi="黑体" w:eastAsia="黑体" w:cs="黑体"/>
          <w:spacing w:val="-13"/>
          <w:sz w:val="24"/>
          <w:szCs w:val="24"/>
          <w:lang w:val="en-US" w:eastAsia="zh-CN"/>
        </w:rPr>
        <w:t>表2-1 南芬区水美乡村生态建设项目绩效评价指标体系</w:t>
      </w:r>
    </w:p>
    <w:tbl>
      <w:tblPr>
        <w:tblStyle w:val="11"/>
        <w:tblW w:w="8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2"/>
        <w:gridCol w:w="1389"/>
        <w:gridCol w:w="641"/>
        <w:gridCol w:w="1632"/>
        <w:gridCol w:w="706"/>
        <w:gridCol w:w="2290"/>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blHeader/>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1389"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641"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  策</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依据充分性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程序规范性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  程</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24</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资金管理</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项目预算执行率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组织实施</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11</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  出</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产出数量</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防污控污、景观人文</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13</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产出质量</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17</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14</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17</w:t>
            </w:r>
          </w:p>
        </w:tc>
        <w:tc>
          <w:tcPr>
            <w:tcW w:w="1389"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  益</w:t>
            </w:r>
          </w:p>
        </w:tc>
        <w:tc>
          <w:tcPr>
            <w:tcW w:w="641"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18</w:t>
            </w:r>
          </w:p>
        </w:tc>
        <w:tc>
          <w:tcPr>
            <w:tcW w:w="1389"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社会效益</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19</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p>
        </w:tc>
        <w:tc>
          <w:tcPr>
            <w:tcW w:w="70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rPr>
            </w:pPr>
            <w:r>
              <w:rPr>
                <w:rFonts w:hint="eastAsia" w:ascii="宋体" w:hAnsi="宋体" w:eastAsia="宋体" w:cs="宋体"/>
                <w:i w:val="0"/>
                <w:iCs w:val="0"/>
                <w:snapToGrid w:val="0"/>
                <w:color w:val="000000"/>
                <w:kern w:val="0"/>
                <w:sz w:val="20"/>
                <w:szCs w:val="20"/>
                <w:u w:val="none"/>
                <w:lang w:val="en-US" w:eastAsia="zh-CN" w:bidi="ar"/>
              </w:rPr>
              <w:t>21</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70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防洪排涝能力显著提升</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70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22</w:t>
            </w:r>
          </w:p>
        </w:tc>
        <w:tc>
          <w:tcPr>
            <w:tcW w:w="1389"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641"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163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p>
        </w:tc>
        <w:tc>
          <w:tcPr>
            <w:tcW w:w="70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77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9"/>
        <w:rPr>
          <w:rFonts w:hint="eastAsia" w:ascii="仿宋_GB2312" w:hAnsi="仿宋_GB2312" w:eastAsia="仿宋_GB2312" w:cs="仿宋_GB2312"/>
          <w:spacing w:val="-13"/>
          <w:sz w:val="32"/>
          <w:szCs w:val="32"/>
        </w:rPr>
      </w:pPr>
      <w:r>
        <w:rPr>
          <w:rFonts w:hint="eastAsia" w:ascii="仿宋_GB2312" w:hAnsi="仿宋_GB2312" w:eastAsia="仿宋_GB2312" w:cs="仿宋_GB2312"/>
          <w:spacing w:val="-13"/>
          <w:sz w:val="32"/>
          <w:szCs w:val="32"/>
        </w:rPr>
        <w:t>本次绩效评价综合绩效级别依据《项目支出绩效评价管理办法》（财预〔2020〕10号）文件确定，分为4个等级：综合得分在90（含）-100分为优；综合得分在80（含）-89分为良；综合得分在60（含）-79分为中；综合得分在60分以下为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6" w:name="_Toc14322"/>
      <w:r>
        <w:rPr>
          <w:rFonts w:hint="eastAsia" w:ascii="楷体_GB2312" w:hAnsi="楷体_GB2312" w:eastAsia="楷体_GB2312" w:cs="楷体_GB2312"/>
          <w:spacing w:val="-13"/>
          <w:sz w:val="32"/>
          <w:szCs w:val="32"/>
        </w:rPr>
        <w:t>（三）绩效评价工作过程</w:t>
      </w:r>
      <w:bookmarkEnd w:id="6"/>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本次评价工作主要分为三个阶段，包括前期准备、组织实施、撰写与提交报告。具体实施过程如下：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1.前期准备阶段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default"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成立绩效评价工作组，与市财政局绩效管理科和债务金融科、南芬区农业农村局进行沟通对接，搜集项目相关资料并整理分析，获取项目有效信息。同时，设计绩效评价指标体系、设计座谈提纲、满意度调查问卷，并制定调研计划，为现场调研工作做准备。</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2.组织实施阶段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本阶段的主要工作内容为根据调研计划开展现场调研工作，与南芬区农业农村局、项目建设指挥部等部门进行座谈，详细了解项目实施情况，并根据座谈内容进一步搜集项目资料、完善指标体系。</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jc w:val="both"/>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3.撰写与提交报告阶段</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本阶段的主要工作内容为综合前期资料审核和分析、专家评价意见等，初步形成绩效评价总体结论。根据综合分析信息和评价结论，按照规定的文本格式和相关要求撰写绩效评价报告。报告征求相关部门意见，并根据意见修改完善报告内容，形成正式版报告。最后，将报告报送至市财政局绩效管理科。并对项目资料进行归档，归纳总结评价实施过程。</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7" w:name="_Toc13811"/>
      <w:r>
        <w:rPr>
          <w:rFonts w:ascii="黑体" w:hAnsi="黑体" w:eastAsia="黑体" w:cs="黑体"/>
          <w:spacing w:val="-3"/>
          <w:sz w:val="32"/>
          <w:szCs w:val="32"/>
        </w:rPr>
        <w:t>三、综合评价情况及评价结论</w:t>
      </w:r>
      <w:bookmarkEnd w:id="7"/>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经综合分析，本次绩效评价的综合得分为</w:t>
      </w:r>
      <w:r>
        <w:rPr>
          <w:rFonts w:hint="eastAsia" w:ascii="仿宋_GB2312" w:hAnsi="仿宋_GB2312" w:eastAsia="仿宋_GB2312" w:cs="仿宋_GB2312"/>
          <w:b/>
          <w:bCs/>
          <w:snapToGrid/>
          <w:kern w:val="2"/>
          <w:sz w:val="32"/>
          <w:szCs w:val="32"/>
          <w:lang w:val="en-US" w:eastAsia="zh-CN" w:bidi="ar-SA"/>
        </w:rPr>
        <w:t>92</w:t>
      </w:r>
      <w:r>
        <w:rPr>
          <w:rFonts w:hint="eastAsia" w:ascii="仿宋_GB2312" w:hAnsi="仿宋_GB2312" w:eastAsia="仿宋_GB2312" w:cs="仿宋_GB2312"/>
          <w:snapToGrid/>
          <w:kern w:val="2"/>
          <w:sz w:val="32"/>
          <w:szCs w:val="32"/>
          <w:lang w:val="en-US" w:eastAsia="zh-CN" w:bidi="ar-SA"/>
        </w:rPr>
        <w:t>分，评价等级为“</w:t>
      </w:r>
      <w:r>
        <w:rPr>
          <w:rFonts w:hint="eastAsia" w:ascii="仿宋_GB2312" w:hAnsi="仿宋_GB2312" w:eastAsia="仿宋_GB2312" w:cs="仿宋_GB2312"/>
          <w:b/>
          <w:bCs/>
          <w:snapToGrid/>
          <w:kern w:val="2"/>
          <w:sz w:val="32"/>
          <w:szCs w:val="32"/>
          <w:lang w:val="en-US" w:eastAsia="zh-CN" w:bidi="ar-SA"/>
        </w:rPr>
        <w:t>优</w:t>
      </w:r>
      <w:r>
        <w:rPr>
          <w:rFonts w:hint="eastAsia" w:ascii="仿宋_GB2312" w:hAnsi="仿宋_GB2312" w:eastAsia="仿宋_GB2312" w:cs="仿宋_GB2312"/>
          <w:snapToGrid/>
          <w:kern w:val="2"/>
          <w:sz w:val="32"/>
          <w:szCs w:val="32"/>
          <w:lang w:val="en-US" w:eastAsia="zh-CN" w:bidi="ar-SA"/>
        </w:rPr>
        <w:t>”。</w:t>
      </w:r>
    </w:p>
    <w:p>
      <w:pPr>
        <w:pStyle w:val="2"/>
        <w:spacing w:line="360" w:lineRule="auto"/>
        <w:jc w:val="center"/>
        <w:rPr>
          <w:rFonts w:hint="eastAsia" w:ascii="黑体" w:hAnsi="黑体" w:eastAsia="黑体" w:cs="黑体"/>
          <w:snapToGrid/>
          <w:kern w:val="2"/>
          <w:sz w:val="24"/>
          <w:szCs w:val="24"/>
          <w:lang w:val="en-US" w:eastAsia="zh-CN" w:bidi="ar-SA"/>
        </w:rPr>
      </w:pPr>
    </w:p>
    <w:p>
      <w:pPr>
        <w:pStyle w:val="2"/>
        <w:spacing w:line="360" w:lineRule="auto"/>
        <w:jc w:val="center"/>
        <w:rPr>
          <w:rFonts w:hint="default" w:ascii="黑体" w:hAnsi="黑体" w:eastAsia="黑体" w:cs="黑体"/>
          <w:sz w:val="24"/>
          <w:szCs w:val="24"/>
          <w:lang w:val="en-US" w:eastAsia="zh-CN"/>
        </w:rPr>
      </w:pPr>
      <w:r>
        <w:rPr>
          <w:rFonts w:hint="eastAsia" w:ascii="黑体" w:hAnsi="黑体" w:eastAsia="黑体" w:cs="黑体"/>
          <w:snapToGrid/>
          <w:kern w:val="2"/>
          <w:sz w:val="24"/>
          <w:szCs w:val="24"/>
          <w:lang w:val="en-US" w:eastAsia="zh-CN" w:bidi="ar-SA"/>
        </w:rPr>
        <w:t>表3-1 南芬区水系连通及水美乡村建设试点项目绩效评价总体得分表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2130"/>
        <w:gridCol w:w="2131"/>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blHeader/>
          <w:jc w:val="center"/>
        </w:trPr>
        <w:tc>
          <w:tcPr>
            <w:tcW w:w="1931"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2130"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2131"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lang w:val="en-US" w:eastAsia="zh-CN"/>
              </w:rPr>
              <w:t>最终</w:t>
            </w:r>
            <w:r>
              <w:rPr>
                <w:rFonts w:hint="eastAsia" w:ascii="宋体" w:hAnsi="宋体" w:eastAsia="宋体" w:cs="宋体"/>
                <w:b/>
                <w:bCs/>
                <w:sz w:val="20"/>
                <w:szCs w:val="20"/>
                <w:highlight w:val="none"/>
              </w:rPr>
              <w:t>得分</w:t>
            </w:r>
          </w:p>
        </w:tc>
        <w:tc>
          <w:tcPr>
            <w:tcW w:w="2055" w:type="dxa"/>
            <w:shd w:val="clear" w:color="auto" w:fill="auto"/>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决</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策</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16</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15</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93.75</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1931" w:type="dxa"/>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过  程</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24</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21</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87.50</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产</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出</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30</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26</w:t>
            </w:r>
          </w:p>
        </w:tc>
        <w:tc>
          <w:tcPr>
            <w:tcW w:w="2055" w:type="dxa"/>
            <w:vAlign w:val="center"/>
          </w:tcPr>
          <w:p>
            <w:pPr>
              <w:widowControl w:val="0"/>
              <w:jc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86.67</w:t>
            </w:r>
            <w:r>
              <w:rPr>
                <w:rFonts w:hint="eastAsia" w:ascii="宋体" w:hAnsi="宋体" w:eastAsia="宋体" w:cs="宋体"/>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931" w:type="dxa"/>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rPr>
              <w:t>效</w:t>
            </w:r>
            <w:r>
              <w:rPr>
                <w:rFonts w:hint="eastAsia" w:ascii="宋体" w:hAnsi="宋体" w:cs="宋体"/>
                <w:sz w:val="20"/>
                <w:szCs w:val="20"/>
                <w:highlight w:val="none"/>
                <w:lang w:val="en-US" w:eastAsia="zh-CN"/>
              </w:rPr>
              <w:t xml:space="preserve">  </w:t>
            </w:r>
            <w:r>
              <w:rPr>
                <w:rFonts w:hint="eastAsia" w:ascii="宋体" w:hAnsi="宋体" w:eastAsia="宋体" w:cs="宋体"/>
                <w:sz w:val="20"/>
                <w:szCs w:val="20"/>
                <w:highlight w:val="none"/>
              </w:rPr>
              <w:t>益</w:t>
            </w:r>
          </w:p>
        </w:tc>
        <w:tc>
          <w:tcPr>
            <w:tcW w:w="2130"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30</w:t>
            </w:r>
          </w:p>
        </w:tc>
        <w:tc>
          <w:tcPr>
            <w:tcW w:w="2131" w:type="dxa"/>
            <w:vAlign w:val="center"/>
          </w:tcPr>
          <w:p>
            <w:pPr>
              <w:widowControl w:val="0"/>
              <w:jc w:val="center"/>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30</w:t>
            </w:r>
          </w:p>
        </w:tc>
        <w:tc>
          <w:tcPr>
            <w:tcW w:w="2055" w:type="dxa"/>
            <w:vAlign w:val="center"/>
          </w:tcPr>
          <w:p>
            <w:pPr>
              <w:widowControl w:val="0"/>
              <w:jc w:val="center"/>
              <w:rPr>
                <w:rFonts w:hint="default" w:ascii="宋体" w:hAnsi="宋体" w:eastAsia="宋体" w:cs="宋体"/>
                <w:color w:val="auto"/>
                <w:sz w:val="20"/>
                <w:szCs w:val="20"/>
                <w:highlight w:val="none"/>
                <w:lang w:val="en-US"/>
              </w:rPr>
            </w:pPr>
            <w:r>
              <w:rPr>
                <w:rFonts w:hint="eastAsia" w:ascii="宋体" w:hAnsi="宋体" w:cs="宋体"/>
                <w:color w:val="auto"/>
                <w:sz w:val="20"/>
                <w:szCs w:val="20"/>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931" w:type="dxa"/>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总</w:t>
            </w:r>
            <w:r>
              <w:rPr>
                <w:rFonts w:hint="eastAsia" w:ascii="宋体" w:hAnsi="宋体" w:cs="宋体"/>
                <w:b/>
                <w:bCs/>
                <w:sz w:val="20"/>
                <w:szCs w:val="20"/>
                <w:highlight w:val="none"/>
                <w:lang w:val="en-US" w:eastAsia="zh-CN"/>
              </w:rPr>
              <w:t xml:space="preserve">  </w:t>
            </w:r>
            <w:r>
              <w:rPr>
                <w:rFonts w:hint="eastAsia" w:ascii="宋体" w:hAnsi="宋体" w:eastAsia="宋体" w:cs="宋体"/>
                <w:b/>
                <w:bCs/>
                <w:sz w:val="20"/>
                <w:szCs w:val="20"/>
                <w:highlight w:val="none"/>
              </w:rPr>
              <w:t>计</w:t>
            </w:r>
          </w:p>
        </w:tc>
        <w:tc>
          <w:tcPr>
            <w:tcW w:w="2130" w:type="dxa"/>
            <w:vAlign w:val="center"/>
          </w:tcPr>
          <w:p>
            <w:pPr>
              <w:widowControl w:val="0"/>
              <w:jc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rPr>
              <w:t>100</w:t>
            </w:r>
          </w:p>
        </w:tc>
        <w:tc>
          <w:tcPr>
            <w:tcW w:w="2131" w:type="dxa"/>
            <w:vAlign w:val="center"/>
          </w:tcPr>
          <w:p>
            <w:pPr>
              <w:widowControl w:val="0"/>
              <w:jc w:val="center"/>
              <w:rPr>
                <w:rFonts w:hint="default"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92</w:t>
            </w:r>
          </w:p>
        </w:tc>
        <w:tc>
          <w:tcPr>
            <w:tcW w:w="2055" w:type="dxa"/>
            <w:vAlign w:val="center"/>
          </w:tcPr>
          <w:p>
            <w:pPr>
              <w:widowControl w:val="0"/>
              <w:jc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val="en-US" w:eastAsia="zh-CN"/>
              </w:rPr>
              <w:t>92</w:t>
            </w:r>
            <w:r>
              <w:rPr>
                <w:rFonts w:hint="eastAsia" w:ascii="宋体" w:hAnsi="宋体" w:eastAsia="宋体" w:cs="宋体"/>
                <w:b/>
                <w:bCs/>
                <w:color w:val="auto"/>
                <w:sz w:val="20"/>
                <w:szCs w:val="20"/>
                <w:highlight w:val="none"/>
              </w:rPr>
              <w:t>%</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jc w:val="both"/>
        <w:textAlignment w:val="baseline"/>
        <w:outlineLvl w:val="9"/>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3"/>
          <w:sz w:val="32"/>
          <w:szCs w:val="32"/>
        </w:rPr>
        <w:t>南芬区抢抓政策机遇，按照新时期水利高质量发展要求，结合全省“水润辽宁”工程建设布局，依托</w:t>
      </w:r>
      <w:r>
        <w:rPr>
          <w:rFonts w:hint="eastAsia" w:ascii="仿宋_GB2312" w:hAnsi="仿宋_GB2312" w:eastAsia="仿宋_GB2312" w:cs="仿宋_GB2312"/>
          <w:spacing w:val="-3"/>
          <w:sz w:val="32"/>
          <w:szCs w:val="32"/>
          <w:lang w:val="en-US" w:eastAsia="zh-CN"/>
        </w:rPr>
        <w:t>本地</w:t>
      </w:r>
      <w:r>
        <w:rPr>
          <w:rFonts w:hint="eastAsia" w:ascii="仿宋_GB2312" w:hAnsi="仿宋_GB2312" w:eastAsia="仿宋_GB2312" w:cs="仿宋_GB2312"/>
          <w:spacing w:val="-3"/>
          <w:sz w:val="32"/>
          <w:szCs w:val="32"/>
        </w:rPr>
        <w:t>优越的自然生态资源禀赋，以青山为骨架</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河流为脉络</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村庄为节点，水域岸线并治，整合资源、多措并举，</w:t>
      </w:r>
      <w:bookmarkStart w:id="27" w:name="_GoBack"/>
      <w:bookmarkEnd w:id="27"/>
      <w:r>
        <w:rPr>
          <w:rFonts w:hint="eastAsia" w:ascii="仿宋_GB2312" w:hAnsi="仿宋_GB2312" w:eastAsia="仿宋_GB2312" w:cs="仿宋_GB2312"/>
          <w:spacing w:val="-3"/>
          <w:sz w:val="32"/>
          <w:szCs w:val="32"/>
        </w:rPr>
        <w:t>做精田园</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做美家园</w:t>
      </w:r>
      <w:r>
        <w:rPr>
          <w:rFonts w:hint="eastAsia" w:ascii="仿宋_GB2312" w:hAnsi="仿宋_GB2312" w:eastAsia="仿宋_GB2312" w:cs="仿宋_GB2312"/>
          <w:spacing w:val="-3"/>
          <w:sz w:val="32"/>
          <w:szCs w:val="32"/>
          <w:lang w:eastAsia="zh-CN"/>
        </w:rPr>
        <w:t>，</w:t>
      </w:r>
      <w:r>
        <w:rPr>
          <w:rFonts w:hint="eastAsia" w:ascii="仿宋_GB2312" w:hAnsi="仿宋_GB2312" w:eastAsia="仿宋_GB2312" w:cs="仿宋_GB2312"/>
          <w:spacing w:val="-3"/>
          <w:sz w:val="32"/>
          <w:szCs w:val="32"/>
        </w:rPr>
        <w:t>打造具有辽东山区特色的水系连通及水美乡村建设试点典型案例，形成了可复制、可推广的“南芬经验”。</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28" w:firstLineChars="200"/>
        <w:textAlignment w:val="baseline"/>
        <w:rPr>
          <w:rFonts w:hint="default" w:eastAsia="仿宋_GB2312"/>
          <w:lang w:val="en-US" w:eastAsia="zh-CN"/>
        </w:rPr>
      </w:pPr>
      <w:r>
        <w:rPr>
          <w:rFonts w:hint="eastAsia" w:ascii="仿宋_GB2312" w:hAnsi="仿宋_GB2312" w:eastAsia="仿宋_GB2312" w:cs="仿宋_GB2312"/>
          <w:spacing w:val="-3"/>
          <w:sz w:val="32"/>
          <w:szCs w:val="32"/>
          <w:lang w:val="en-US" w:eastAsia="zh-CN"/>
        </w:rPr>
        <w:t>但评价中也发现，项目预算绩效管理工作还不完备，管理意识还需加强；财务账目较混乱，存在不合理支出；资金依然存在拨付较慢情况；举证资料还需补充和完善等。在以后的工程建设中还需加强管理，切实提高资金使用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8" w:firstLineChars="200"/>
        <w:textAlignment w:val="baseline"/>
        <w:outlineLvl w:val="0"/>
        <w:rPr>
          <w:rFonts w:ascii="黑体" w:hAnsi="黑体" w:eastAsia="黑体" w:cs="黑体"/>
          <w:spacing w:val="-3"/>
          <w:sz w:val="32"/>
          <w:szCs w:val="32"/>
        </w:rPr>
      </w:pPr>
      <w:bookmarkStart w:id="8" w:name="_Toc9616"/>
      <w:r>
        <w:rPr>
          <w:rFonts w:ascii="黑体" w:hAnsi="黑体" w:eastAsia="黑体" w:cs="黑体"/>
          <w:spacing w:val="-3"/>
          <w:sz w:val="32"/>
          <w:szCs w:val="32"/>
        </w:rPr>
        <w:t>四、绩效评价指标分析</w:t>
      </w:r>
      <w:bookmarkEnd w:id="8"/>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9" w:name="_Toc32013"/>
      <w:r>
        <w:rPr>
          <w:rFonts w:hint="eastAsia" w:ascii="楷体_GB2312" w:hAnsi="楷体_GB2312" w:eastAsia="楷体_GB2312" w:cs="楷体_GB2312"/>
          <w:spacing w:val="-13"/>
          <w:sz w:val="32"/>
          <w:szCs w:val="32"/>
        </w:rPr>
        <w:t>（一）项目决策方面</w:t>
      </w:r>
      <w:bookmarkEnd w:id="9"/>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 w:eastAsia="仿宋_GB2312"/>
          <w:sz w:val="32"/>
          <w:szCs w:val="36"/>
          <w:highlight w:val="none"/>
        </w:rPr>
      </w:pPr>
      <w:r>
        <w:rPr>
          <w:rFonts w:hint="eastAsia" w:ascii="仿宋_GB2312" w:hAnsi="仿宋_GB2312" w:eastAsia="仿宋_GB2312" w:cs="仿宋_GB2312"/>
          <w:sz w:val="32"/>
          <w:szCs w:val="36"/>
          <w:highlight w:val="none"/>
        </w:rPr>
        <w:t>决策指标分值为</w:t>
      </w:r>
      <w:r>
        <w:rPr>
          <w:rFonts w:hint="eastAsia" w:ascii="仿宋_GB2312" w:hAnsi="仿宋_GB2312" w:eastAsia="仿宋_GB2312" w:cs="仿宋_GB2312"/>
          <w:sz w:val="32"/>
          <w:szCs w:val="36"/>
          <w:highlight w:val="none"/>
          <w:lang w:val="en-US" w:eastAsia="zh-CN"/>
        </w:rPr>
        <w:t>16</w:t>
      </w:r>
      <w:r>
        <w:rPr>
          <w:rFonts w:hint="eastAsia" w:ascii="仿宋_GB2312" w:hAnsi="仿宋_GB2312" w:eastAsia="仿宋_GB2312" w:cs="仿宋_GB2312"/>
          <w:sz w:val="32"/>
          <w:szCs w:val="36"/>
          <w:highlight w:val="none"/>
        </w:rPr>
        <w:t>分，得分</w:t>
      </w:r>
      <w:r>
        <w:rPr>
          <w:rFonts w:hint="eastAsia" w:ascii="仿宋_GB2312" w:hAnsi="仿宋_GB2312" w:eastAsia="仿宋_GB2312" w:cs="仿宋_GB2312"/>
          <w:sz w:val="32"/>
          <w:szCs w:val="36"/>
          <w:highlight w:val="none"/>
          <w:lang w:val="en-US" w:eastAsia="zh-CN"/>
        </w:rPr>
        <w:t>15</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93.75</w:t>
      </w:r>
      <w:r>
        <w:rPr>
          <w:rFonts w:hint="eastAsia" w:ascii="仿宋_GB2312" w:hAnsi="仿宋_GB2312" w:eastAsia="仿宋_GB2312" w:cs="仿宋_GB2312"/>
          <w:sz w:val="32"/>
          <w:szCs w:val="36"/>
          <w:highlight w:val="none"/>
        </w:rPr>
        <w:t>%。下设3个二级指标，</w:t>
      </w:r>
      <w:r>
        <w:rPr>
          <w:rFonts w:hint="eastAsia" w:ascii="仿宋_GB2312" w:hAnsi="仿宋_GB2312" w:eastAsia="仿宋_GB2312" w:cs="仿宋_GB2312"/>
          <w:sz w:val="32"/>
          <w:szCs w:val="36"/>
          <w:highlight w:val="none"/>
          <w:lang w:val="en-US" w:eastAsia="zh-CN"/>
        </w:rPr>
        <w:t>5</w:t>
      </w:r>
      <w:r>
        <w:rPr>
          <w:rFonts w:hint="eastAsia" w:ascii="仿宋_GB2312" w:hAnsi="仿宋_GB2312" w:eastAsia="仿宋_GB2312" w:cs="仿宋_GB2312"/>
          <w:sz w:val="32"/>
          <w:szCs w:val="36"/>
          <w:highlight w:val="none"/>
        </w:rPr>
        <w:t>个三级指标。</w:t>
      </w:r>
      <w:r>
        <w:rPr>
          <w:rFonts w:hint="eastAsia" w:ascii="仿宋_GB2312" w:hAnsi="仿宋" w:eastAsia="仿宋_GB2312"/>
          <w:sz w:val="32"/>
          <w:szCs w:val="36"/>
          <w:highlight w:val="none"/>
        </w:rPr>
        <w:t>各级指标设定及评分详见下表：</w:t>
      </w:r>
    </w:p>
    <w:p>
      <w:pPr>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1</w:t>
      </w:r>
      <w:r>
        <w:rPr>
          <w:rFonts w:hint="eastAsia" w:ascii="黑体" w:hAnsi="黑体" w:eastAsia="黑体" w:cs="黑体"/>
          <w:sz w:val="24"/>
          <w:szCs w:val="24"/>
          <w:highlight w:val="none"/>
        </w:rPr>
        <w:t xml:space="preserve"> 决策指标得分情况表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tblHeader/>
          <w:jc w:val="center"/>
        </w:trPr>
        <w:tc>
          <w:tcPr>
            <w:tcW w:w="1498"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704"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1704"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705"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705" w:type="dxa"/>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498" w:type="dxa"/>
            <w:vMerge w:val="restart"/>
            <w:noWrap w:val="0"/>
            <w:vAlign w:val="center"/>
          </w:tcPr>
          <w:p>
            <w:pPr>
              <w:jc w:val="center"/>
              <w:rPr>
                <w:rFonts w:ascii="宋体" w:hAnsi="宋体" w:eastAsia="宋体" w:cs="宋体"/>
                <w:sz w:val="20"/>
                <w:szCs w:val="20"/>
                <w:highlight w:val="none"/>
              </w:rPr>
            </w:pPr>
            <w:r>
              <w:rPr>
                <w:rFonts w:hint="eastAsia" w:ascii="宋体" w:hAnsi="宋体" w:eastAsia="宋体" w:cs="宋体"/>
                <w:b/>
                <w:bCs/>
                <w:sz w:val="20"/>
                <w:szCs w:val="20"/>
                <w:highlight w:val="none"/>
              </w:rPr>
              <w:t>决策</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16</w:t>
            </w:r>
            <w:r>
              <w:rPr>
                <w:rFonts w:hint="eastAsia" w:ascii="宋体" w:hAnsi="宋体" w:eastAsia="宋体" w:cs="宋体"/>
                <w:b/>
                <w:bCs/>
                <w:sz w:val="20"/>
                <w:szCs w:val="20"/>
                <w:highlight w:val="none"/>
              </w:rPr>
              <w:t>）</w:t>
            </w:r>
          </w:p>
        </w:tc>
        <w:tc>
          <w:tcPr>
            <w:tcW w:w="1704"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项目立项</w:t>
            </w:r>
          </w:p>
        </w:tc>
        <w:tc>
          <w:tcPr>
            <w:tcW w:w="17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依据充分性</w:t>
            </w:r>
          </w:p>
        </w:tc>
        <w:tc>
          <w:tcPr>
            <w:tcW w:w="1705"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continue"/>
            <w:noWrap w:val="0"/>
            <w:vAlign w:val="center"/>
          </w:tcPr>
          <w:p>
            <w:pPr>
              <w:jc w:val="center"/>
              <w:rPr>
                <w:rFonts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default" w:ascii="宋体" w:hAnsi="宋体" w:eastAsia="宋体" w:cs="宋体"/>
                <w:sz w:val="20"/>
                <w:szCs w:val="20"/>
                <w:highlight w:val="none"/>
                <w:lang w:val="en-US"/>
              </w:rPr>
            </w:pPr>
            <w:r>
              <w:rPr>
                <w:rFonts w:hint="eastAsia" w:ascii="宋体" w:hAnsi="宋体" w:eastAsia="宋体" w:cs="宋体"/>
                <w:i w:val="0"/>
                <w:iCs w:val="0"/>
                <w:snapToGrid w:val="0"/>
                <w:color w:val="000000"/>
                <w:kern w:val="0"/>
                <w:sz w:val="20"/>
                <w:szCs w:val="20"/>
                <w:u w:val="none"/>
                <w:lang w:val="en-US" w:eastAsia="zh-CN" w:bidi="ar"/>
              </w:rPr>
              <w:t>程序规范性</w:t>
            </w:r>
          </w:p>
        </w:tc>
        <w:tc>
          <w:tcPr>
            <w:tcW w:w="1705"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绩效目标</w:t>
            </w:r>
          </w:p>
        </w:tc>
        <w:tc>
          <w:tcPr>
            <w:tcW w:w="17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vMerge w:val="continue"/>
            <w:noWrap w:val="0"/>
            <w:vAlign w:val="center"/>
          </w:tcPr>
          <w:p>
            <w:pPr>
              <w:jc w:val="center"/>
              <w:rPr>
                <w:rFonts w:hint="eastAsia"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val="en-US"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jc w:val="center"/>
        </w:trPr>
        <w:tc>
          <w:tcPr>
            <w:tcW w:w="1498" w:type="dxa"/>
            <w:vMerge w:val="continue"/>
            <w:noWrap w:val="0"/>
            <w:vAlign w:val="center"/>
          </w:tcPr>
          <w:p>
            <w:pPr>
              <w:jc w:val="center"/>
              <w:rPr>
                <w:rFonts w:ascii="宋体" w:hAnsi="宋体" w:eastAsia="宋体" w:cs="宋体"/>
                <w:sz w:val="20"/>
                <w:szCs w:val="20"/>
                <w:highlight w:val="none"/>
              </w:rPr>
            </w:pPr>
          </w:p>
        </w:tc>
        <w:tc>
          <w:tcPr>
            <w:tcW w:w="17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资金投入</w:t>
            </w:r>
          </w:p>
        </w:tc>
        <w:tc>
          <w:tcPr>
            <w:tcW w:w="1704" w:type="dxa"/>
            <w:noWrap w:val="0"/>
            <w:vAlign w:val="center"/>
          </w:tcPr>
          <w:p>
            <w:pPr>
              <w:keepNext w:val="0"/>
              <w:keepLines w:val="0"/>
              <w:widowControl/>
              <w:suppressLineNumbers w:val="0"/>
              <w:jc w:val="center"/>
              <w:textAlignment w:val="center"/>
              <w:rPr>
                <w:rFonts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jc w:val="center"/>
              <w:rPr>
                <w:rFonts w:hint="eastAsia"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906" w:type="dxa"/>
            <w:gridSpan w:val="3"/>
            <w:noWrap w:val="0"/>
            <w:vAlign w:val="center"/>
          </w:tcPr>
          <w:p>
            <w:pPr>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705" w:type="dxa"/>
            <w:noWrap w:val="0"/>
            <w:vAlign w:val="center"/>
          </w:tcPr>
          <w:p>
            <w:pPr>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16</w:t>
            </w:r>
          </w:p>
        </w:tc>
        <w:tc>
          <w:tcPr>
            <w:tcW w:w="1705" w:type="dxa"/>
            <w:noWrap w:val="0"/>
            <w:vAlign w:val="center"/>
          </w:tcPr>
          <w:p>
            <w:pPr>
              <w:jc w:val="center"/>
              <w:rPr>
                <w:rFonts w:hint="default" w:ascii="宋体" w:hAnsi="宋体" w:eastAsia="宋体" w:cs="宋体"/>
                <w:b/>
                <w:bCs/>
                <w:sz w:val="20"/>
                <w:szCs w:val="20"/>
                <w:highlight w:val="none"/>
                <w:lang w:val="en-US" w:eastAsia="zh-CN"/>
              </w:rPr>
            </w:pPr>
            <w:r>
              <w:rPr>
                <w:rFonts w:hint="eastAsia" w:ascii="宋体" w:hAnsi="宋体" w:cs="宋体"/>
                <w:b/>
                <w:bCs/>
                <w:sz w:val="20"/>
                <w:szCs w:val="20"/>
                <w:highlight w:val="none"/>
                <w:lang w:val="en-US" w:eastAsia="zh-CN"/>
              </w:rPr>
              <w:t>15</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3" w:firstLineChars="200"/>
        <w:jc w:val="both"/>
        <w:textAlignment w:val="baseline"/>
        <w:rPr>
          <w:rFonts w:hint="default" w:ascii="仿宋" w:hAnsi="仿宋" w:eastAsia="仿宋" w:cs="仿宋"/>
          <w:b/>
          <w:bCs/>
          <w:spacing w:val="-15"/>
          <w:sz w:val="32"/>
          <w:szCs w:val="32"/>
          <w:lang w:val="en-US" w:eastAsia="zh-CN"/>
        </w:rPr>
      </w:pPr>
      <w:r>
        <w:rPr>
          <w:rFonts w:hint="eastAsia" w:ascii="仿宋" w:hAnsi="仿宋" w:eastAsia="仿宋" w:cs="仿宋"/>
          <w:b/>
          <w:bCs/>
          <w:spacing w:val="-15"/>
          <w:sz w:val="32"/>
          <w:szCs w:val="32"/>
          <w:lang w:val="en-US" w:eastAsia="zh-CN"/>
        </w:rPr>
        <w:t>1.项目立项</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58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pacing w:val="-15"/>
          <w:sz w:val="32"/>
          <w:szCs w:val="32"/>
        </w:rPr>
        <w:t>依据充分性</w:t>
      </w:r>
      <w:r>
        <w:rPr>
          <w:rFonts w:hint="eastAsia" w:ascii="仿宋_GB2312" w:hAnsi="仿宋_GB2312" w:eastAsia="仿宋_GB2312" w:cs="仿宋_GB2312"/>
          <w:b/>
          <w:bCs/>
          <w:spacing w:val="-15"/>
          <w:sz w:val="32"/>
          <w:szCs w:val="32"/>
          <w:lang w:eastAsia="zh-CN"/>
        </w:rPr>
        <w:t>。</w:t>
      </w:r>
      <w:r>
        <w:rPr>
          <w:rFonts w:hint="eastAsia" w:ascii="仿宋_GB2312" w:hAnsi="仿宋_GB2312" w:eastAsia="仿宋_GB2312" w:cs="仿宋_GB2312"/>
          <w:spacing w:val="-15"/>
          <w:sz w:val="32"/>
          <w:szCs w:val="32"/>
          <w:lang w:val="en-US" w:eastAsia="zh-CN"/>
        </w:rPr>
        <w:t>南芬区农业农村局依据</w:t>
      </w:r>
      <w:r>
        <w:rPr>
          <w:rFonts w:hint="eastAsia" w:ascii="仿宋_GB2312" w:hAnsi="仿宋_GB2312" w:eastAsia="仿宋_GB2312" w:cs="仿宋_GB2312"/>
          <w:spacing w:val="-3"/>
          <w:sz w:val="32"/>
          <w:szCs w:val="32"/>
          <w:lang w:val="en-US" w:eastAsia="zh-CN"/>
        </w:rPr>
        <w:t>水利部规划计划司及财政部农业农村局联合下发的《水利部办公厅 财政部办公厅关于开展2021年水系连通及水美乡村建设试点的通知》《水利部办公厅 财政部办公厅关于公布2021年水系连通及水美乡村建设试点县名单的通知》文件精神，结合南芬区“十四五”经济社会发展总体规划以及本地区国土空间规划、城乡发展规划、水利综合规划、全域旅游规划等综合和专项规划，设立水系连通及水美乡村建设试点项目。项目立项依据充分，实施范围清晰，绩效目标明确。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1"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pacing w:val="-3"/>
          <w:sz w:val="32"/>
          <w:szCs w:val="32"/>
          <w:lang w:val="en-US" w:eastAsia="zh-CN"/>
        </w:rPr>
        <w:t>程序规范性。</w:t>
      </w:r>
      <w:r>
        <w:rPr>
          <w:rFonts w:hint="eastAsia" w:ascii="仿宋_GB2312" w:hAnsi="仿宋_GB2312" w:eastAsia="仿宋_GB2312" w:cs="仿宋_GB2312"/>
          <w:spacing w:val="-3"/>
          <w:sz w:val="32"/>
          <w:szCs w:val="32"/>
          <w:lang w:val="en-US" w:eastAsia="zh-CN"/>
        </w:rPr>
        <w:t>2021年2月，南芬区政府委托辽宁省水利水电勘测设计研究院有限公司与本溪市水利电力勘测设计有限公司共同完成实施方案编制；2021年4月，省水利厅和财政厅组织竞争立项评审，南芬区在12个县区中排名第一，进入水利部、财政部推荐名单；2021年6月，水利部、财政部印发《关于公布2021年水系连通及水美乡村建设试点县名单的通知》（〔2021〕173号），确定本溪市南芬区作为全国第二批水系连通及水美乡村建设试点县；同月，省水利厅对南芬区水系连通及水美乡村建设试点县实施方案进行了批复；2021年8月，南芬区农业农村局组织完成南芬区水系连通及水美乡村试点县建设项目具体实施方案技术审查和批复。2021年5月，南芬区政府批复成立水利项目和其他项目法人单位。项目立项程序规范、合法合规，实施方案同步获得国家、省市相关部门的批准。但项目未开展事前绩效评估工作，未对项目实施效益的达成程度进行有效评估，绩效管理工作有待加强，该项扣1分。指标满分3分，实际得分2分。</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31" w:firstLineChars="200"/>
        <w:jc w:val="both"/>
        <w:textAlignment w:val="baseline"/>
        <w:rPr>
          <w:rFonts w:hint="eastAsia" w:ascii="仿宋_GB2312" w:hAnsi="仿宋_GB2312" w:eastAsia="仿宋_GB2312" w:cs="仿宋_GB2312"/>
          <w:b/>
          <w:bCs/>
          <w:snapToGrid w:val="0"/>
          <w:color w:val="000000"/>
          <w:spacing w:val="-3"/>
          <w:kern w:val="2"/>
          <w:sz w:val="32"/>
          <w:szCs w:val="32"/>
          <w:lang w:val="en-US" w:eastAsia="zh-CN" w:bidi="ar-SA"/>
        </w:rPr>
      </w:pPr>
      <w:r>
        <w:rPr>
          <w:rFonts w:hint="eastAsia" w:ascii="仿宋_GB2312" w:hAnsi="仿宋_GB2312" w:eastAsia="仿宋_GB2312" w:cs="仿宋_GB2312"/>
          <w:b/>
          <w:bCs/>
          <w:snapToGrid w:val="0"/>
          <w:color w:val="000000"/>
          <w:spacing w:val="-3"/>
          <w:kern w:val="2"/>
          <w:sz w:val="32"/>
          <w:szCs w:val="32"/>
          <w:lang w:val="en-US" w:eastAsia="zh-CN" w:bidi="ar-SA"/>
        </w:rPr>
        <w:t>2.绩效目标</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599" w:firstLineChars="200"/>
        <w:jc w:val="both"/>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绩效目标合理性。</w:t>
      </w:r>
      <w:r>
        <w:rPr>
          <w:rFonts w:hint="eastAsia" w:ascii="仿宋_GB2312" w:hAnsi="仿宋_GB2312" w:eastAsia="仿宋_GB2312" w:cs="仿宋_GB2312"/>
          <w:bCs w:val="0"/>
          <w:snapToGrid w:val="0"/>
          <w:color w:val="000000"/>
          <w:spacing w:val="-11"/>
          <w:kern w:val="0"/>
          <w:sz w:val="32"/>
          <w:szCs w:val="32"/>
          <w:lang w:val="en-US" w:eastAsia="zh-CN"/>
        </w:rPr>
        <w:t>项目围绕南芬区现状及农村水系存在的突出问题，通过采取具体措施，逐步</w:t>
      </w:r>
      <w:r>
        <w:rPr>
          <w:rFonts w:hint="eastAsia" w:ascii="仿宋_GB2312" w:hAnsi="仿宋_GB2312" w:eastAsia="仿宋_GB2312" w:cs="仿宋_GB2312"/>
          <w:spacing w:val="-13"/>
          <w:sz w:val="32"/>
          <w:szCs w:val="32"/>
        </w:rPr>
        <w:t>实现南芬区农村水系“水安全保障能力全面提高、水污染治理和防控逐步规范、水生态恢复和保护水平稳中有升、乡村水环境质量大幅改善、本土水文化挖掘与展示小有所成、</w:t>
      </w:r>
      <w:r>
        <w:rPr>
          <w:rFonts w:hint="eastAsia" w:ascii="仿宋_GB2312" w:hAnsi="仿宋_GB2312" w:eastAsia="仿宋_GB2312" w:cs="仿宋_GB2312"/>
          <w:spacing w:val="-13"/>
          <w:sz w:val="32"/>
          <w:szCs w:val="32"/>
          <w:lang w:eastAsia="zh-CN"/>
        </w:rPr>
        <w:t>创新型</w:t>
      </w:r>
      <w:r>
        <w:rPr>
          <w:rFonts w:hint="eastAsia" w:ascii="仿宋_GB2312" w:hAnsi="仿宋_GB2312" w:eastAsia="仿宋_GB2312" w:cs="仿宋_GB2312"/>
          <w:spacing w:val="-13"/>
          <w:sz w:val="32"/>
          <w:szCs w:val="32"/>
        </w:rPr>
        <w:t>水管理模式基本形成、特色水经济推动作用初步呈现”的总体目标</w:t>
      </w:r>
      <w:r>
        <w:rPr>
          <w:rFonts w:hint="eastAsia" w:ascii="仿宋_GB2312" w:hAnsi="仿宋_GB2312" w:eastAsia="仿宋_GB2312" w:cs="仿宋_GB2312"/>
          <w:spacing w:val="-13"/>
          <w:sz w:val="32"/>
          <w:szCs w:val="32"/>
          <w:lang w:eastAsia="zh-CN"/>
        </w:rPr>
        <w:t>。</w:t>
      </w:r>
      <w:r>
        <w:rPr>
          <w:rFonts w:hint="eastAsia" w:ascii="仿宋_GB2312" w:hAnsi="仿宋_GB2312" w:eastAsia="仿宋_GB2312" w:cs="仿宋_GB2312"/>
          <w:spacing w:val="-13"/>
          <w:sz w:val="32"/>
          <w:szCs w:val="32"/>
          <w:lang w:val="en-US" w:eastAsia="zh-CN"/>
        </w:rPr>
        <w:t>项目绩效目标紧紧围绕核心内容设置，预期可实现程度符合客观实际。</w:t>
      </w:r>
      <w:r>
        <w:rPr>
          <w:rFonts w:hint="eastAsia" w:ascii="仿宋_GB2312" w:hAnsi="仿宋_GB2312" w:eastAsia="仿宋_GB2312" w:cs="仿宋_GB2312"/>
          <w:spacing w:val="-3"/>
          <w:sz w:val="32"/>
          <w:szCs w:val="32"/>
          <w:lang w:val="en-US" w:eastAsia="zh-CN"/>
        </w:rPr>
        <w:t>指标满分3分，实际得分3分。</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599" w:firstLineChars="200"/>
        <w:jc w:val="both"/>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绩效指标明确性。</w:t>
      </w:r>
      <w:r>
        <w:rPr>
          <w:rFonts w:hint="eastAsia" w:ascii="仿宋_GB2312" w:hAnsi="仿宋_GB2312" w:eastAsia="仿宋_GB2312" w:cs="仿宋_GB2312"/>
          <w:bCs w:val="0"/>
          <w:snapToGrid w:val="0"/>
          <w:color w:val="000000"/>
          <w:spacing w:val="-11"/>
          <w:kern w:val="0"/>
          <w:sz w:val="32"/>
          <w:szCs w:val="32"/>
          <w:lang w:val="en-US" w:eastAsia="zh-CN"/>
        </w:rPr>
        <w:t>项目已根据实际的工程计划设计具体的绩效指标，且指标值与项目计划工程量基本一致，指标可操作性强，设置规范合理。</w:t>
      </w:r>
      <w:r>
        <w:rPr>
          <w:rFonts w:hint="eastAsia" w:ascii="仿宋_GB2312" w:hAnsi="仿宋_GB2312" w:eastAsia="仿宋_GB2312" w:cs="仿宋_GB2312"/>
          <w:spacing w:val="-3"/>
          <w:sz w:val="32"/>
          <w:szCs w:val="32"/>
          <w:lang w:val="en-US" w:eastAsia="zh-CN"/>
        </w:rPr>
        <w:t>指标满分3分，实际得分3分。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599" w:firstLineChars="200"/>
        <w:textAlignment w:val="baseline"/>
        <w:rPr>
          <w:rFonts w:hint="eastAsia" w:ascii="仿宋_GB2312" w:hAnsi="仿宋_GB2312" w:eastAsia="仿宋_GB2312" w:cs="仿宋_GB2312"/>
          <w:b/>
          <w:bCs/>
          <w:snapToGrid w:val="0"/>
          <w:color w:val="000000"/>
          <w:spacing w:val="-11"/>
          <w:kern w:val="0"/>
          <w:sz w:val="32"/>
          <w:szCs w:val="32"/>
          <w:lang w:val="en-US" w:eastAsia="zh-CN"/>
        </w:rPr>
      </w:pPr>
      <w:r>
        <w:rPr>
          <w:rFonts w:hint="eastAsia" w:ascii="仿宋_GB2312" w:hAnsi="仿宋_GB2312" w:eastAsia="仿宋_GB2312" w:cs="仿宋_GB2312"/>
          <w:b/>
          <w:bCs/>
          <w:snapToGrid w:val="0"/>
          <w:color w:val="000000"/>
          <w:spacing w:val="-11"/>
          <w:kern w:val="0"/>
          <w:sz w:val="32"/>
          <w:szCs w:val="32"/>
          <w:lang w:val="en-US" w:eastAsia="zh-CN"/>
        </w:rPr>
        <w:t>3.资金投入</w:t>
      </w:r>
    </w:p>
    <w:p>
      <w:pPr>
        <w:pStyle w:val="2"/>
        <w:keepNext w:val="0"/>
        <w:keepLines w:val="0"/>
        <w:pageBreakBefore w:val="0"/>
        <w:kinsoku w:val="0"/>
        <w:wordWrap/>
        <w:overflowPunct/>
        <w:topLinePunct w:val="0"/>
        <w:autoSpaceDE w:val="0"/>
        <w:autoSpaceDN w:val="0"/>
        <w:bidi w:val="0"/>
        <w:adjustRightInd w:val="0"/>
        <w:snapToGrid w:val="0"/>
        <w:spacing w:line="560" w:lineRule="exact"/>
        <w:ind w:firstLine="596" w:firstLineChars="200"/>
        <w:textAlignment w:val="baseline"/>
        <w:rPr>
          <w:rFonts w:hint="eastAsia" w:ascii="仿宋_GB2312" w:hAnsi="仿宋_GB2312" w:eastAsia="仿宋_GB2312" w:cs="仿宋_GB2312"/>
          <w:bCs w:val="0"/>
          <w:snapToGrid w:val="0"/>
          <w:color w:val="000000"/>
          <w:spacing w:val="-11"/>
          <w:kern w:val="0"/>
          <w:sz w:val="32"/>
          <w:szCs w:val="32"/>
          <w:lang w:val="en-US" w:eastAsia="zh-CN"/>
        </w:rPr>
      </w:pPr>
      <w:r>
        <w:rPr>
          <w:rFonts w:hint="eastAsia" w:ascii="仿宋_GB2312" w:hAnsi="仿宋_GB2312" w:eastAsia="仿宋_GB2312" w:cs="仿宋_GB2312"/>
          <w:bCs w:val="0"/>
          <w:snapToGrid w:val="0"/>
          <w:color w:val="000000"/>
          <w:spacing w:val="-11"/>
          <w:kern w:val="0"/>
          <w:sz w:val="32"/>
          <w:szCs w:val="32"/>
          <w:lang w:val="en-US" w:eastAsia="zh-CN"/>
        </w:rPr>
        <w:t>资金投入合理性。项目共申请预算约3,9032万元，其中，中央资金12,000万元，一般债券资金6,500万元，省级补助1,000万元，市区级配套约7,117万元，筹集社会资本约12,415万元。项目预算依据实际工程量合理测算，实际支出额度也在预算范围内，且支出率较高，资金投入较为合理。</w:t>
      </w:r>
      <w:r>
        <w:rPr>
          <w:rFonts w:hint="eastAsia" w:ascii="仿宋_GB2312" w:hAnsi="仿宋_GB2312" w:eastAsia="仿宋_GB2312" w:cs="仿宋_GB2312"/>
          <w:spacing w:val="-3"/>
          <w:sz w:val="32"/>
          <w:szCs w:val="32"/>
          <w:lang w:val="en-US" w:eastAsia="zh-CN"/>
        </w:rPr>
        <w:t>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textAlignment w:val="baseline"/>
        <w:outlineLvl w:val="1"/>
        <w:rPr>
          <w:rFonts w:hint="eastAsia" w:ascii="楷体_GB2312" w:hAnsi="楷体_GB2312" w:eastAsia="楷体_GB2312" w:cs="楷体_GB2312"/>
          <w:spacing w:val="-13"/>
          <w:sz w:val="32"/>
          <w:szCs w:val="32"/>
        </w:rPr>
      </w:pPr>
      <w:bookmarkStart w:id="10" w:name="_Toc6667"/>
      <w:r>
        <w:rPr>
          <w:rFonts w:hint="eastAsia" w:ascii="楷体_GB2312" w:hAnsi="楷体_GB2312" w:eastAsia="楷体_GB2312" w:cs="楷体_GB2312"/>
          <w:spacing w:val="-13"/>
          <w:sz w:val="32"/>
          <w:szCs w:val="32"/>
        </w:rPr>
        <w:t>（二）项目</w:t>
      </w:r>
      <w:r>
        <w:rPr>
          <w:rFonts w:hint="eastAsia" w:ascii="楷体_GB2312" w:hAnsi="楷体_GB2312" w:eastAsia="楷体_GB2312" w:cs="楷体_GB2312"/>
          <w:spacing w:val="-13"/>
          <w:sz w:val="32"/>
          <w:szCs w:val="32"/>
          <w:lang w:val="en-US" w:eastAsia="zh-CN"/>
        </w:rPr>
        <w:t>过程</w:t>
      </w:r>
      <w:r>
        <w:rPr>
          <w:rFonts w:hint="eastAsia" w:ascii="楷体_GB2312" w:hAnsi="楷体_GB2312" w:eastAsia="楷体_GB2312" w:cs="楷体_GB2312"/>
          <w:spacing w:val="-13"/>
          <w:sz w:val="32"/>
          <w:szCs w:val="32"/>
        </w:rPr>
        <w:t>情况</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6"/>
          <w:highlight w:val="none"/>
        </w:rPr>
      </w:pPr>
      <w:r>
        <w:rPr>
          <w:rFonts w:hint="eastAsia" w:ascii="仿宋_GB2312" w:hAnsi="仿宋_GB2312" w:eastAsia="仿宋_GB2312" w:cs="仿宋_GB2312"/>
          <w:sz w:val="32"/>
          <w:szCs w:val="36"/>
          <w:highlight w:val="none"/>
          <w:lang w:val="en-US" w:eastAsia="zh-CN"/>
        </w:rPr>
        <w:t>过程</w:t>
      </w:r>
      <w:r>
        <w:rPr>
          <w:rFonts w:hint="eastAsia" w:ascii="仿宋_GB2312" w:hAnsi="仿宋_GB2312" w:eastAsia="仿宋_GB2312" w:cs="仿宋_GB2312"/>
          <w:sz w:val="32"/>
          <w:szCs w:val="36"/>
          <w:highlight w:val="none"/>
        </w:rPr>
        <w:t>指标分值为</w:t>
      </w:r>
      <w:r>
        <w:rPr>
          <w:rFonts w:hint="eastAsia" w:ascii="仿宋_GB2312" w:hAnsi="仿宋_GB2312" w:eastAsia="仿宋_GB2312" w:cs="仿宋_GB2312"/>
          <w:sz w:val="32"/>
          <w:szCs w:val="36"/>
          <w:highlight w:val="none"/>
          <w:lang w:val="en-US" w:eastAsia="zh-CN"/>
        </w:rPr>
        <w:t>24</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21</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87.5</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2</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5</w:t>
      </w:r>
      <w:r>
        <w:rPr>
          <w:rFonts w:hint="eastAsia" w:ascii="仿宋_GB2312" w:hAnsi="仿宋_GB2312" w:eastAsia="仿宋_GB2312" w:cs="仿宋_GB2312"/>
          <w:sz w:val="32"/>
          <w:szCs w:val="36"/>
          <w:highlight w:val="none"/>
        </w:rPr>
        <w:t>个三级指标。各级指标设定及评分详见下表：</w:t>
      </w:r>
    </w:p>
    <w:p>
      <w:pPr>
        <w:keepNext w:val="0"/>
        <w:keepLines w:val="0"/>
        <w:pageBreakBefore w:val="0"/>
        <w:wordWrap/>
        <w:overflowPunct/>
        <w:topLinePunct w:val="0"/>
        <w:bidi w:val="0"/>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2</w:t>
      </w:r>
      <w:r>
        <w:rPr>
          <w:rFonts w:hint="eastAsia" w:ascii="黑体" w:hAnsi="黑体" w:eastAsia="黑体" w:cs="黑体"/>
          <w:sz w:val="24"/>
          <w:szCs w:val="24"/>
          <w:highlight w:val="none"/>
        </w:rPr>
        <w:t xml:space="preserve"> </w:t>
      </w:r>
      <w:r>
        <w:rPr>
          <w:rFonts w:hint="eastAsia" w:ascii="黑体" w:hAnsi="黑体" w:eastAsia="黑体" w:cs="黑体"/>
          <w:sz w:val="24"/>
          <w:szCs w:val="24"/>
          <w:highlight w:val="none"/>
          <w:lang w:val="en-US" w:eastAsia="zh-CN"/>
        </w:rPr>
        <w:t>过程</w:t>
      </w:r>
      <w:r>
        <w:rPr>
          <w:rFonts w:hint="eastAsia" w:ascii="黑体" w:hAnsi="黑体" w:eastAsia="黑体" w:cs="黑体"/>
          <w:sz w:val="24"/>
          <w:szCs w:val="24"/>
          <w:highlight w:val="none"/>
        </w:rPr>
        <w:t>指标得分情况表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605"/>
        <w:gridCol w:w="2066"/>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blHeader/>
        </w:trPr>
        <w:tc>
          <w:tcPr>
            <w:tcW w:w="1441"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6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206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7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705"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restart"/>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b/>
                <w:bCs/>
                <w:sz w:val="20"/>
                <w:szCs w:val="20"/>
                <w:highlight w:val="none"/>
                <w:lang w:val="en-US" w:eastAsia="zh-CN"/>
              </w:rPr>
              <w:t>过程</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24</w:t>
            </w:r>
            <w:r>
              <w:rPr>
                <w:rFonts w:hint="eastAsia" w:ascii="宋体" w:hAnsi="宋体" w:eastAsia="宋体" w:cs="宋体"/>
                <w:b/>
                <w:bCs/>
                <w:sz w:val="20"/>
                <w:szCs w:val="20"/>
                <w:highlight w:val="none"/>
              </w:rPr>
              <w:t>）</w:t>
            </w:r>
          </w:p>
        </w:tc>
        <w:tc>
          <w:tcPr>
            <w:tcW w:w="1605" w:type="dxa"/>
            <w:vMerge w:val="restart"/>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资金管理</w:t>
            </w: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widowControl w:val="0"/>
              <w:jc w:val="center"/>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项目资金执行率</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10</w:t>
            </w:r>
          </w:p>
        </w:tc>
        <w:tc>
          <w:tcPr>
            <w:tcW w:w="1705"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widowControl w:val="0"/>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组织实施</w:t>
            </w: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705"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cs="宋体"/>
                <w:sz w:val="20"/>
                <w:szCs w:val="20"/>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441" w:type="dxa"/>
            <w:vMerge w:val="continue"/>
            <w:noWrap w:val="0"/>
            <w:vAlign w:val="center"/>
          </w:tcPr>
          <w:p>
            <w:pPr>
              <w:widowControl w:val="0"/>
              <w:jc w:val="center"/>
              <w:rPr>
                <w:rFonts w:ascii="宋体" w:hAnsi="宋体" w:eastAsia="宋体" w:cs="宋体"/>
                <w:sz w:val="20"/>
                <w:szCs w:val="20"/>
                <w:highlight w:val="none"/>
              </w:rPr>
            </w:pPr>
          </w:p>
        </w:tc>
        <w:tc>
          <w:tcPr>
            <w:tcW w:w="1605" w:type="dxa"/>
            <w:vMerge w:val="continue"/>
            <w:noWrap w:val="0"/>
            <w:vAlign w:val="center"/>
          </w:tcPr>
          <w:p>
            <w:pPr>
              <w:widowControl w:val="0"/>
              <w:jc w:val="center"/>
              <w:rPr>
                <w:rFonts w:ascii="宋体" w:hAnsi="宋体" w:eastAsia="宋体" w:cs="宋体"/>
                <w:sz w:val="20"/>
                <w:szCs w:val="20"/>
                <w:highlight w:val="none"/>
              </w:rPr>
            </w:pPr>
          </w:p>
        </w:tc>
        <w:tc>
          <w:tcPr>
            <w:tcW w:w="206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1705"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4</w:t>
            </w:r>
          </w:p>
        </w:tc>
        <w:tc>
          <w:tcPr>
            <w:tcW w:w="1705" w:type="dxa"/>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5112" w:type="dxa"/>
            <w:gridSpan w:val="3"/>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705"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24</w:t>
            </w:r>
          </w:p>
        </w:tc>
        <w:tc>
          <w:tcPr>
            <w:tcW w:w="1705"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21</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1.资金管理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rPr>
        <w:t>债券资金到位率。</w:t>
      </w:r>
      <w:r>
        <w:rPr>
          <w:rFonts w:hint="eastAsia" w:ascii="仿宋_GB2312" w:hAnsi="仿宋_GB2312" w:eastAsia="仿宋_GB2312" w:cs="仿宋_GB2312"/>
          <w:snapToGrid w:val="0"/>
          <w:color w:val="000000"/>
          <w:spacing w:val="-10"/>
          <w:kern w:val="0"/>
          <w:sz w:val="32"/>
          <w:szCs w:val="32"/>
          <w:lang w:val="en-US" w:eastAsia="zh-CN"/>
        </w:rPr>
        <w:t>一般债券资金分两笔到账，第一笔资金于2022年6月10日拨付到位，第二笔资金于2022年6月17日拨付到位，资金直接拨付到区，债券资金及时足额到位，到位率为100%。</w:t>
      </w:r>
      <w:r>
        <w:rPr>
          <w:rFonts w:hint="eastAsia" w:ascii="仿宋_GB2312" w:hAnsi="仿宋_GB2312" w:eastAsia="仿宋_GB2312" w:cs="仿宋_GB2312"/>
          <w:spacing w:val="-3"/>
          <w:sz w:val="32"/>
          <w:szCs w:val="32"/>
          <w:lang w:val="en-US" w:eastAsia="zh-CN"/>
        </w:rPr>
        <w:t>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bidi="ar-SA"/>
        </w:rPr>
        <w:t>项目资金执行率。</w:t>
      </w:r>
      <w:r>
        <w:rPr>
          <w:rFonts w:hint="eastAsia" w:ascii="仿宋_GB2312" w:hAnsi="仿宋_GB2312" w:eastAsia="仿宋_GB2312" w:cs="仿宋_GB2312"/>
          <w:bCs w:val="0"/>
          <w:snapToGrid w:val="0"/>
          <w:color w:val="000000"/>
          <w:spacing w:val="-10"/>
          <w:kern w:val="0"/>
          <w:sz w:val="32"/>
          <w:szCs w:val="32"/>
          <w:lang w:val="en-US" w:eastAsia="zh-CN" w:bidi="ar-SA"/>
        </w:rPr>
        <w:t>本工程项目总预算为30,932.13万元，实际到位资金39,032.13万元，实际支出35,238.40万元，项目资金执行率为90.28%。项目预算执行较好，保障了工程建设顺利实施。</w:t>
      </w:r>
      <w:r>
        <w:rPr>
          <w:rFonts w:hint="eastAsia" w:ascii="仿宋_GB2312" w:hAnsi="仿宋_GB2312" w:eastAsia="仿宋_GB2312" w:cs="仿宋_GB2312"/>
          <w:spacing w:val="-3"/>
          <w:sz w:val="32"/>
          <w:szCs w:val="32"/>
          <w:lang w:val="en-US" w:eastAsia="zh-CN"/>
        </w:rPr>
        <w:t>指标满分10分，实际得分8分。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0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napToGrid w:val="0"/>
          <w:color w:val="000000"/>
          <w:spacing w:val="-10"/>
          <w:kern w:val="0"/>
          <w:sz w:val="32"/>
          <w:szCs w:val="32"/>
          <w:lang w:val="en-US" w:eastAsia="zh-CN" w:bidi="ar-SA"/>
        </w:rPr>
        <w:t>资金使用合规性。</w:t>
      </w:r>
      <w:r>
        <w:rPr>
          <w:rFonts w:hint="eastAsia" w:ascii="仿宋_GB2312" w:hAnsi="仿宋_GB2312" w:eastAsia="仿宋_GB2312" w:cs="仿宋_GB2312"/>
          <w:bCs w:val="0"/>
          <w:snapToGrid w:val="0"/>
          <w:color w:val="000000"/>
          <w:spacing w:val="-10"/>
          <w:kern w:val="0"/>
          <w:sz w:val="32"/>
          <w:szCs w:val="32"/>
          <w:lang w:val="en-US" w:eastAsia="zh-CN" w:bidi="ar-SA"/>
        </w:rPr>
        <w:t>查阅了项目支出明细账及支付凭证，债券资金全部用于本项目，债券申请年限与项目建设进度相匹配，债券资金也在项目建设期间及时足额拨付到位，债券资金无挤占、挪用等情况。</w:t>
      </w:r>
      <w:r>
        <w:rPr>
          <w:rFonts w:hint="eastAsia" w:ascii="仿宋_GB2312" w:hAnsi="仿宋_GB2312" w:eastAsia="仿宋_GB2312" w:cs="仿宋_GB2312"/>
          <w:bCs w:val="0"/>
          <w:snapToGrid w:val="0"/>
          <w:color w:val="000000"/>
          <w:spacing w:val="-10"/>
          <w:kern w:val="0"/>
          <w:sz w:val="32"/>
          <w:szCs w:val="32"/>
          <w:highlight w:val="none"/>
          <w:lang w:val="en-US" w:eastAsia="zh-CN" w:bidi="ar-SA"/>
        </w:rPr>
        <w:t>项目按时偿还一般债券利息，无逾期、不足额偿还情况。但审核项目财务资料时发现，项目部分资金用于办公设备采购，不符合上级政策文件要求。</w:t>
      </w:r>
      <w:r>
        <w:rPr>
          <w:rFonts w:hint="eastAsia" w:ascii="仿宋_GB2312" w:hAnsi="仿宋_GB2312" w:eastAsia="仿宋_GB2312" w:cs="仿宋_GB2312"/>
          <w:spacing w:val="-3"/>
          <w:sz w:val="32"/>
          <w:szCs w:val="32"/>
          <w:highlight w:val="none"/>
          <w:lang w:val="en-US" w:eastAsia="zh-CN"/>
        </w:rPr>
        <w:t>指</w:t>
      </w:r>
      <w:r>
        <w:rPr>
          <w:rFonts w:hint="eastAsia" w:ascii="仿宋_GB2312" w:hAnsi="仿宋_GB2312" w:eastAsia="仿宋_GB2312" w:cs="仿宋_GB2312"/>
          <w:spacing w:val="-3"/>
          <w:sz w:val="32"/>
          <w:szCs w:val="32"/>
          <w:lang w:val="en-US" w:eastAsia="zh-CN"/>
        </w:rPr>
        <w:t>标满分4分，实际得分3分。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default"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2.组织实施</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spacing w:val="-3"/>
          <w:sz w:val="32"/>
          <w:szCs w:val="32"/>
          <w:lang w:val="en-US" w:eastAsia="zh-CN"/>
        </w:rPr>
      </w:pPr>
      <w:r>
        <w:rPr>
          <w:rFonts w:hint="eastAsia" w:ascii="仿宋_GB2312" w:hAnsi="仿宋_GB2312" w:eastAsia="仿宋_GB2312" w:cs="仿宋_GB2312"/>
          <w:b/>
          <w:bCs/>
          <w:sz w:val="32"/>
          <w:szCs w:val="32"/>
          <w:lang w:val="en-US" w:eastAsia="zh-CN"/>
        </w:rPr>
        <w:t>管理制度健全性。</w:t>
      </w:r>
      <w:r>
        <w:rPr>
          <w:rFonts w:hint="eastAsia" w:ascii="仿宋_GB2312" w:hAnsi="仿宋_GB2312" w:eastAsia="仿宋_GB2312" w:cs="仿宋_GB2312"/>
          <w:sz w:val="32"/>
          <w:szCs w:val="32"/>
          <w:lang w:val="en-US" w:eastAsia="zh-CN"/>
        </w:rPr>
        <w:t>为确保工程建设项目依法合规有序进行，项目建设指挥部制定了《南芬区水系连通及水美乡村建设项目建设管理办法》《南芬区水系连通及水美乡村建设项目质量管理制度》《水利工程项目档案管理制度》《南芬区水系连通工程财务管理办法》等规章制度文件，并汇编成册。项目财务和业务管理制度健全，使项目建设质量、安全、进度、投资控制、信息档案及合同管理有章可循，指导项目有效开展、顺利实施。</w:t>
      </w:r>
      <w:r>
        <w:rPr>
          <w:rFonts w:hint="eastAsia" w:ascii="仿宋_GB2312" w:hAnsi="仿宋_GB2312" w:eastAsia="仿宋_GB2312" w:cs="仿宋_GB2312"/>
          <w:spacing w:val="-3"/>
          <w:sz w:val="32"/>
          <w:szCs w:val="32"/>
          <w:lang w:val="en-US" w:eastAsia="zh-CN"/>
        </w:rPr>
        <w:t>指标满分3分，实际得分3分。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lang w:val="en-US" w:eastAsia="zh-CN"/>
        </w:rPr>
        <w:t>制度执行有效性。</w:t>
      </w:r>
      <w:r>
        <w:rPr>
          <w:rFonts w:hint="eastAsia" w:ascii="仿宋_GB2312" w:hAnsi="仿宋_GB2312" w:eastAsia="仿宋_GB2312" w:cs="仿宋_GB2312"/>
          <w:sz w:val="32"/>
          <w:szCs w:val="32"/>
          <w:lang w:val="en-US" w:eastAsia="zh-CN"/>
        </w:rPr>
        <w:t>项目管理机制健全，落实项目法人责任制、招标投标制、建设监理制、合同管理制，推进工程规范建设，确保打造精品工程。招标、合同签订依法合规，合同内容要素完整，过程监管到位，无安全事故发生。</w:t>
      </w:r>
      <w:r>
        <w:rPr>
          <w:rFonts w:hint="eastAsia" w:ascii="仿宋_GB2312" w:hAnsi="仿宋_GB2312" w:eastAsia="仿宋_GB2312" w:cs="仿宋_GB2312"/>
          <w:sz w:val="32"/>
          <w:szCs w:val="32"/>
          <w:highlight w:val="none"/>
          <w:lang w:val="en-US" w:eastAsia="zh-CN"/>
        </w:rPr>
        <w:t>项目实施过程中，针对省水利厅水利工程安全生产专项稽查发现的问题及整改意见，南芬区农业农村局及时进行整改并出具整改报告，对提出的问题一一作出回应，响应较及时、工作较主动。</w:t>
      </w:r>
      <w:r>
        <w:rPr>
          <w:rFonts w:hint="eastAsia" w:ascii="仿宋_GB2312" w:hAnsi="仿宋_GB2312" w:eastAsia="仿宋_GB2312" w:cs="仿宋_GB2312"/>
          <w:spacing w:val="-3"/>
          <w:sz w:val="32"/>
          <w:szCs w:val="32"/>
          <w:highlight w:val="none"/>
          <w:lang w:val="en-US" w:eastAsia="zh-CN"/>
        </w:rPr>
        <w:t>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11" w:name="_Toc21851"/>
      <w:r>
        <w:rPr>
          <w:rFonts w:hint="eastAsia" w:ascii="楷体_GB2312" w:hAnsi="楷体_GB2312" w:eastAsia="楷体_GB2312" w:cs="楷体_GB2312"/>
          <w:spacing w:val="-13"/>
          <w:sz w:val="32"/>
          <w:szCs w:val="32"/>
        </w:rPr>
        <w:t>（三）项目产出情况</w:t>
      </w:r>
      <w:bookmarkEnd w:id="11"/>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6"/>
          <w:highlight w:val="none"/>
        </w:rPr>
      </w:pPr>
      <w:r>
        <w:rPr>
          <w:rFonts w:hint="eastAsia" w:ascii="仿宋_GB2312" w:hAnsi="仿宋_GB2312" w:eastAsia="仿宋_GB2312" w:cs="仿宋_GB2312"/>
          <w:sz w:val="32"/>
          <w:szCs w:val="36"/>
          <w:highlight w:val="none"/>
        </w:rPr>
        <w:t>产出指标分值为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26</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86.67</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2</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6</w:t>
      </w:r>
      <w:r>
        <w:rPr>
          <w:rFonts w:hint="eastAsia" w:ascii="仿宋_GB2312" w:hAnsi="仿宋_GB2312" w:eastAsia="仿宋_GB2312" w:cs="仿宋_GB2312"/>
          <w:sz w:val="32"/>
          <w:szCs w:val="36"/>
          <w:highlight w:val="none"/>
        </w:rPr>
        <w:t>个三级指标。各级指标设定及评分详见下表：</w:t>
      </w:r>
    </w:p>
    <w:p>
      <w:pPr>
        <w:spacing w:line="360" w:lineRule="auto"/>
        <w:jc w:val="center"/>
        <w:rPr>
          <w:rFonts w:ascii="黑体" w:hAnsi="黑体" w:eastAsia="黑体" w:cs="黑体"/>
          <w:sz w:val="24"/>
          <w:szCs w:val="24"/>
          <w:highlight w:val="none"/>
        </w:rPr>
      </w:pPr>
      <w:r>
        <w:rPr>
          <w:rFonts w:hint="eastAsia" w:ascii="黑体" w:hAnsi="黑体" w:eastAsia="黑体" w:cs="黑体"/>
          <w:sz w:val="24"/>
          <w:szCs w:val="24"/>
          <w:highlight w:val="none"/>
        </w:rPr>
        <w:t>表</w:t>
      </w:r>
      <w:r>
        <w:rPr>
          <w:rFonts w:hint="eastAsia" w:ascii="黑体" w:hAnsi="黑体" w:eastAsia="黑体" w:cs="黑体"/>
          <w:sz w:val="24"/>
          <w:szCs w:val="24"/>
          <w:highlight w:val="none"/>
          <w:lang w:val="en-US" w:eastAsia="zh-CN"/>
        </w:rPr>
        <w:t>4</w:t>
      </w:r>
      <w:r>
        <w:rPr>
          <w:rFonts w:hint="eastAsia" w:ascii="黑体" w:hAnsi="黑体" w:eastAsia="黑体" w:cs="黑体"/>
          <w:sz w:val="24"/>
          <w:szCs w:val="24"/>
          <w:highlight w:val="none"/>
        </w:rPr>
        <w:t>-</w:t>
      </w:r>
      <w:r>
        <w:rPr>
          <w:rFonts w:hint="eastAsia" w:ascii="黑体" w:hAnsi="黑体" w:eastAsia="黑体" w:cs="黑体"/>
          <w:sz w:val="24"/>
          <w:szCs w:val="24"/>
          <w:highlight w:val="none"/>
          <w:lang w:val="en-US" w:eastAsia="zh-CN"/>
        </w:rPr>
        <w:t>3</w:t>
      </w:r>
      <w:r>
        <w:rPr>
          <w:rFonts w:hint="eastAsia" w:ascii="黑体" w:hAnsi="黑体" w:eastAsia="黑体" w:cs="黑体"/>
          <w:sz w:val="24"/>
          <w:szCs w:val="24"/>
          <w:highlight w:val="none"/>
        </w:rPr>
        <w:t xml:space="preserve"> 产出指标得分情况表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559"/>
        <w:gridCol w:w="2904"/>
        <w:gridCol w:w="1276"/>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blHeader/>
          <w:jc w:val="center"/>
        </w:trPr>
        <w:tc>
          <w:tcPr>
            <w:tcW w:w="1418"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一级指标</w:t>
            </w:r>
          </w:p>
        </w:tc>
        <w:tc>
          <w:tcPr>
            <w:tcW w:w="1559"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二级指标</w:t>
            </w:r>
          </w:p>
        </w:tc>
        <w:tc>
          <w:tcPr>
            <w:tcW w:w="2904"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三级指标</w:t>
            </w:r>
          </w:p>
        </w:tc>
        <w:tc>
          <w:tcPr>
            <w:tcW w:w="127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指标分值</w:t>
            </w:r>
          </w:p>
        </w:tc>
        <w:tc>
          <w:tcPr>
            <w:tcW w:w="1286" w:type="dxa"/>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指标得分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418" w:type="dxa"/>
            <w:vMerge w:val="restart"/>
            <w:noWrap w:val="0"/>
            <w:vAlign w:val="center"/>
          </w:tcPr>
          <w:p>
            <w:pPr>
              <w:widowControl w:val="0"/>
              <w:jc w:val="center"/>
              <w:rPr>
                <w:rFonts w:ascii="宋体" w:hAnsi="宋体" w:eastAsia="宋体" w:cs="宋体"/>
                <w:sz w:val="20"/>
                <w:szCs w:val="20"/>
                <w:highlight w:val="none"/>
              </w:rPr>
            </w:pPr>
            <w:r>
              <w:rPr>
                <w:rFonts w:hint="eastAsia" w:ascii="宋体" w:hAnsi="宋体" w:eastAsia="宋体" w:cs="宋体"/>
                <w:b/>
                <w:bCs/>
                <w:sz w:val="20"/>
                <w:szCs w:val="20"/>
                <w:highlight w:val="none"/>
              </w:rPr>
              <w:t>产出</w:t>
            </w:r>
            <w:r>
              <w:rPr>
                <w:rFonts w:ascii="宋体" w:hAnsi="宋体" w:eastAsia="宋体" w:cs="宋体"/>
                <w:b/>
                <w:bCs/>
                <w:sz w:val="20"/>
                <w:szCs w:val="20"/>
                <w:highlight w:val="none"/>
              </w:rPr>
              <w:br w:type="textWrapping"/>
            </w:r>
            <w:r>
              <w:rPr>
                <w:rFonts w:hint="eastAsia" w:ascii="宋体" w:hAnsi="宋体" w:eastAsia="宋体" w:cs="宋体"/>
                <w:b/>
                <w:bCs/>
                <w:sz w:val="20"/>
                <w:szCs w:val="20"/>
                <w:highlight w:val="none"/>
              </w:rPr>
              <w:t>（</w:t>
            </w:r>
            <w:r>
              <w:rPr>
                <w:rFonts w:hint="eastAsia" w:ascii="宋体" w:hAnsi="宋体" w:eastAsia="宋体" w:cs="宋体"/>
                <w:b/>
                <w:bCs/>
                <w:sz w:val="20"/>
                <w:szCs w:val="20"/>
                <w:highlight w:val="none"/>
                <w:lang w:val="en-US" w:eastAsia="zh-CN"/>
              </w:rPr>
              <w:t>30</w:t>
            </w:r>
            <w:r>
              <w:rPr>
                <w:rFonts w:hint="eastAsia" w:ascii="宋体" w:hAnsi="宋体" w:eastAsia="宋体" w:cs="宋体"/>
                <w:b/>
                <w:bCs/>
                <w:sz w:val="20"/>
                <w:szCs w:val="20"/>
                <w:highlight w:val="none"/>
              </w:rPr>
              <w:t>）</w:t>
            </w:r>
          </w:p>
        </w:tc>
        <w:tc>
          <w:tcPr>
            <w:tcW w:w="1559" w:type="dxa"/>
            <w:vMerge w:val="restart"/>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产出数量</w:t>
            </w: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8</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widowControl w:val="0"/>
              <w:jc w:val="center"/>
              <w:rPr>
                <w:rFonts w:ascii="宋体" w:hAnsi="宋体" w:eastAsia="宋体" w:cs="宋体"/>
                <w:sz w:val="20"/>
                <w:szCs w:val="20"/>
                <w:highlight w:val="none"/>
              </w:rPr>
            </w:pP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restart"/>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产出质量</w:t>
            </w:r>
          </w:p>
        </w:tc>
        <w:tc>
          <w:tcPr>
            <w:tcW w:w="2904"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1276" w:type="dxa"/>
            <w:noWrap w:val="0"/>
            <w:vAlign w:val="center"/>
          </w:tcPr>
          <w:p>
            <w:pPr>
              <w:keepNext w:val="0"/>
              <w:keepLines w:val="0"/>
              <w:widowControl/>
              <w:suppressLineNumbers w:val="0"/>
              <w:jc w:val="center"/>
              <w:textAlignment w:val="center"/>
              <w:rPr>
                <w:rFonts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jc w:val="center"/>
        </w:trPr>
        <w:tc>
          <w:tcPr>
            <w:tcW w:w="1418" w:type="dxa"/>
            <w:vMerge w:val="continue"/>
            <w:noWrap w:val="0"/>
            <w:vAlign w:val="center"/>
          </w:tcPr>
          <w:p>
            <w:pPr>
              <w:widowControl w:val="0"/>
              <w:jc w:val="center"/>
              <w:rPr>
                <w:rFonts w:ascii="宋体" w:hAnsi="宋体" w:eastAsia="宋体" w:cs="宋体"/>
                <w:sz w:val="20"/>
                <w:szCs w:val="20"/>
                <w:highlight w:val="none"/>
              </w:rPr>
            </w:pPr>
          </w:p>
        </w:tc>
        <w:tc>
          <w:tcPr>
            <w:tcW w:w="1559" w:type="dxa"/>
            <w:vMerge w:val="continue"/>
            <w:noWrap w:val="0"/>
            <w:vAlign w:val="center"/>
          </w:tcPr>
          <w:p>
            <w:pPr>
              <w:widowControl w:val="0"/>
              <w:jc w:val="center"/>
              <w:rPr>
                <w:rFonts w:hint="eastAsia" w:ascii="宋体" w:hAnsi="宋体" w:eastAsia="宋体" w:cs="宋体"/>
                <w:sz w:val="20"/>
                <w:szCs w:val="20"/>
                <w:highlight w:val="none"/>
                <w:lang w:eastAsia="zh-CN"/>
              </w:rPr>
            </w:pPr>
          </w:p>
        </w:tc>
        <w:tc>
          <w:tcPr>
            <w:tcW w:w="2904"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1276" w:type="dxa"/>
            <w:noWrap w:val="0"/>
            <w:vAlign w:val="center"/>
          </w:tcPr>
          <w:p>
            <w:pPr>
              <w:keepNext w:val="0"/>
              <w:keepLines w:val="0"/>
              <w:widowControl/>
              <w:suppressLineNumbers w:val="0"/>
              <w:jc w:val="center"/>
              <w:textAlignment w:val="center"/>
              <w:rPr>
                <w:rFonts w:hint="eastAsia" w:ascii="宋体" w:hAnsi="宋体" w:eastAsia="宋体" w:cs="宋体"/>
                <w:sz w:val="20"/>
                <w:szCs w:val="20"/>
                <w:highlight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286" w:type="dxa"/>
            <w:noWrap w:val="0"/>
            <w:vAlign w:val="center"/>
          </w:tcPr>
          <w:p>
            <w:pPr>
              <w:widowControl w:val="0"/>
              <w:jc w:val="center"/>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5881" w:type="dxa"/>
            <w:gridSpan w:val="3"/>
            <w:noWrap w:val="0"/>
            <w:vAlign w:val="center"/>
          </w:tcPr>
          <w:p>
            <w:pPr>
              <w:widowControl w:val="0"/>
              <w:jc w:val="center"/>
              <w:rPr>
                <w:rFonts w:ascii="宋体" w:hAnsi="宋体" w:eastAsia="宋体" w:cs="宋体"/>
                <w:b/>
                <w:bCs/>
                <w:sz w:val="20"/>
                <w:szCs w:val="20"/>
                <w:highlight w:val="none"/>
              </w:rPr>
            </w:pPr>
            <w:r>
              <w:rPr>
                <w:rFonts w:hint="eastAsia" w:ascii="宋体" w:hAnsi="宋体" w:eastAsia="宋体" w:cs="宋体"/>
                <w:b/>
                <w:bCs/>
                <w:sz w:val="20"/>
                <w:szCs w:val="20"/>
                <w:highlight w:val="none"/>
              </w:rPr>
              <w:t>合 计</w:t>
            </w:r>
          </w:p>
        </w:tc>
        <w:tc>
          <w:tcPr>
            <w:tcW w:w="1276"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30</w:t>
            </w:r>
          </w:p>
        </w:tc>
        <w:tc>
          <w:tcPr>
            <w:tcW w:w="1286" w:type="dxa"/>
            <w:noWrap w:val="0"/>
            <w:vAlign w:val="center"/>
          </w:tcPr>
          <w:p>
            <w:pPr>
              <w:widowControl w:val="0"/>
              <w:jc w:val="center"/>
              <w:rPr>
                <w:rFonts w:hint="default" w:ascii="宋体" w:hAnsi="宋体" w:eastAsia="宋体" w:cs="宋体"/>
                <w:b/>
                <w:bCs/>
                <w:sz w:val="20"/>
                <w:szCs w:val="20"/>
                <w:highlight w:val="none"/>
                <w:lang w:val="en-US" w:eastAsia="zh-CN"/>
              </w:rPr>
            </w:pPr>
            <w:r>
              <w:rPr>
                <w:rFonts w:hint="eastAsia" w:ascii="宋体" w:hAnsi="宋体" w:eastAsia="宋体" w:cs="宋体"/>
                <w:b/>
                <w:bCs/>
                <w:sz w:val="20"/>
                <w:szCs w:val="20"/>
                <w:highlight w:val="none"/>
                <w:lang w:val="en-US" w:eastAsia="zh-CN"/>
              </w:rPr>
              <w:t>26</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27" w:firstLineChars="200"/>
        <w:jc w:val="both"/>
        <w:textAlignment w:val="baseline"/>
        <w:rPr>
          <w:rFonts w:hint="eastAsia" w:ascii="仿宋_GB2312" w:hAnsi="仿宋_GB2312" w:eastAsia="仿宋_GB2312" w:cs="仿宋_GB2312"/>
          <w:b/>
          <w:bCs/>
          <w:spacing w:val="-4"/>
          <w:sz w:val="32"/>
          <w:szCs w:val="32"/>
          <w:lang w:val="en-US" w:eastAsia="zh-CN"/>
        </w:rPr>
      </w:pPr>
      <w:r>
        <w:rPr>
          <w:rFonts w:hint="eastAsia" w:ascii="仿宋_GB2312" w:hAnsi="仿宋_GB2312" w:eastAsia="仿宋_GB2312" w:cs="仿宋_GB2312"/>
          <w:b/>
          <w:bCs/>
          <w:spacing w:val="-4"/>
          <w:sz w:val="32"/>
          <w:szCs w:val="32"/>
          <w:lang w:val="en-US" w:eastAsia="zh-CN"/>
        </w:rPr>
        <w:t>1.产出数量</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水利项目。</w:t>
      </w:r>
      <w:r>
        <w:rPr>
          <w:rFonts w:hint="eastAsia" w:ascii="仿宋_GB2312" w:hAnsi="仿宋_GB2312" w:eastAsia="仿宋_GB2312" w:cs="仿宋_GB2312"/>
          <w:b w:val="0"/>
          <w:bCs w:val="0"/>
          <w:sz w:val="32"/>
          <w:szCs w:val="32"/>
          <w:lang w:val="en-US" w:eastAsia="zh-CN"/>
        </w:rPr>
        <w:t>通过查阅项目有关资料，了解到水利项目涉及的12个子项目均已完成建设，部分项目已进行完工验收、竣工验收。水利项目完工率达到100%。指标满分8分，实际得分8分。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3" w:firstLineChars="200"/>
        <w:textAlignment w:val="baseline"/>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防污控污、景观人文项目。</w:t>
      </w:r>
      <w:r>
        <w:rPr>
          <w:rFonts w:hint="eastAsia" w:ascii="仿宋_GB2312" w:hAnsi="仿宋_GB2312" w:eastAsia="仿宋_GB2312" w:cs="仿宋_GB2312"/>
          <w:b w:val="0"/>
          <w:bCs w:val="0"/>
          <w:sz w:val="32"/>
          <w:szCs w:val="32"/>
          <w:lang w:val="en-US" w:eastAsia="zh-CN"/>
        </w:rPr>
        <w:t>通过查阅项目有关资料，了解到防污控污、景观人文项目也已完成建设，正在等待竣工验收。指标满分5分，实际得分5分。各类项目开竣工时间如下表所示。</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表4-4 本工程所涉及子项目开竣工时间表</w:t>
      </w:r>
    </w:p>
    <w:tbl>
      <w:tblPr>
        <w:tblStyle w:val="11"/>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5"/>
        <w:gridCol w:w="1096"/>
        <w:gridCol w:w="2114"/>
        <w:gridCol w:w="1530"/>
        <w:gridCol w:w="1699"/>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blHeader/>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序号</w:t>
            </w:r>
          </w:p>
        </w:tc>
        <w:tc>
          <w:tcPr>
            <w:tcW w:w="3210"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建设内容</w:t>
            </w:r>
          </w:p>
        </w:tc>
        <w:tc>
          <w:tcPr>
            <w:tcW w:w="153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开工时间</w:t>
            </w:r>
          </w:p>
        </w:tc>
        <w:tc>
          <w:tcPr>
            <w:tcW w:w="169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完工时间</w:t>
            </w:r>
          </w:p>
        </w:tc>
        <w:tc>
          <w:tcPr>
            <w:tcW w:w="121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是否完工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96" w:type="dxa"/>
            <w:vMerge w:val="restar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水利项目</w:t>
            </w: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全域河道管护项目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长期</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南芬区流域水质达标一期工程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2021年4月24日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2022年4月24日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冷水鱼种质资源工程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2022年10月1日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2023年9月30日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三台子水土保持示范区项目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2021年9月10日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2022年11月11日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水保林修复项目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三道河源头区水源涵养综合治理工程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2021年8月15日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杨木沟水系连通综合整治工程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2020年1月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2022年7月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小流域综合治理项目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水毁修复工程项目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snapToGrid w:val="0"/>
                <w:color w:val="000000"/>
                <w:kern w:val="0"/>
                <w:sz w:val="20"/>
                <w:szCs w:val="20"/>
                <w:highlight w:val="none"/>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三道河（桦树甸子-南台子段）治理工程</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2021年11月1日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2022年11月7日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南芬区城区防洪沟综合整治项目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2022年8月15日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96" w:type="dxa"/>
            <w:vMerge w:val="continue"/>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长山河八道沟河口防洪应急项目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96" w:type="dxa"/>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化肥减量（有机肥推广）项目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杨木沟城外鱼庄少数民族旅游特色发展项目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林场景区旅游基础设施项目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2021年3月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本溪鸿顺旅游有限公司溪泉鱼庄项目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流域环境综合整治项目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2022年5月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2022年12月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本宽线甬子峪河口避让工程项目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2022年初</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2022年底</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25"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村组滨河路网工程项目</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2021年9月30日</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2021年11月30日</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2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20</w:t>
            </w:r>
          </w:p>
        </w:tc>
        <w:tc>
          <w:tcPr>
            <w:tcW w:w="1096" w:type="dxa"/>
            <w:vMerge w:val="continue"/>
            <w:shd w:val="clear" w:color="auto" w:fill="auto"/>
            <w:vAlign w:val="center"/>
          </w:tcPr>
          <w:p>
            <w:pPr>
              <w:jc w:val="center"/>
              <w:rPr>
                <w:rFonts w:hint="eastAsia" w:ascii="宋体" w:hAnsi="宋体" w:eastAsia="宋体" w:cs="宋体"/>
                <w:i w:val="0"/>
                <w:iCs w:val="0"/>
                <w:color w:val="000000"/>
                <w:sz w:val="20"/>
                <w:szCs w:val="20"/>
                <w:u w:val="none"/>
              </w:rPr>
            </w:pPr>
          </w:p>
        </w:tc>
        <w:tc>
          <w:tcPr>
            <w:tcW w:w="2114"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三道河乡村振兴项目（虹鳟鱼展销中心）</w:t>
            </w:r>
          </w:p>
        </w:tc>
        <w:tc>
          <w:tcPr>
            <w:tcW w:w="153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2022年6月</w:t>
            </w:r>
          </w:p>
        </w:tc>
        <w:tc>
          <w:tcPr>
            <w:tcW w:w="1699"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2022年12月</w:t>
            </w:r>
          </w:p>
        </w:tc>
        <w:tc>
          <w:tcPr>
            <w:tcW w:w="12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highlight w:val="none"/>
                <w:u w:val="none"/>
                <w:lang w:val="en-US" w:eastAsia="zh-CN" w:bidi="ar"/>
              </w:rPr>
            </w:pPr>
            <w:r>
              <w:rPr>
                <w:rFonts w:hint="eastAsia" w:ascii="宋体" w:hAnsi="宋体" w:eastAsia="宋体" w:cs="宋体"/>
                <w:i w:val="0"/>
                <w:iCs w:val="0"/>
                <w:snapToGrid w:val="0"/>
                <w:color w:val="000000"/>
                <w:kern w:val="0"/>
                <w:sz w:val="20"/>
                <w:szCs w:val="20"/>
                <w:highlight w:val="none"/>
                <w:u w:val="none"/>
                <w:lang w:val="en-US" w:eastAsia="zh-CN" w:bidi="ar"/>
              </w:rPr>
              <w:t>是</w:t>
            </w:r>
          </w:p>
        </w:tc>
      </w:tr>
    </w:tbl>
    <w:p>
      <w:pPr>
        <w:pStyle w:val="2"/>
        <w:keepNext w:val="0"/>
        <w:keepLines w:val="0"/>
        <w:pageBreakBefore w:val="0"/>
        <w:widowControl w:val="0"/>
        <w:kinsoku w:val="0"/>
        <w:wordWrap/>
        <w:overflowPunct/>
        <w:topLinePunct w:val="0"/>
        <w:autoSpaceDE w:val="0"/>
        <w:autoSpaceDN w:val="0"/>
        <w:bidi w:val="0"/>
        <w:adjustRightInd w:val="0"/>
        <w:snapToGrid w:val="0"/>
        <w:spacing w:line="240" w:lineRule="auto"/>
        <w:jc w:val="both"/>
        <w:textAlignment w:val="baseline"/>
        <w:rPr>
          <w:rFonts w:hint="default"/>
          <w:lang w:val="en-US" w:eastAsia="zh-CN"/>
        </w:rPr>
      </w:pPr>
      <w:r>
        <w:rPr>
          <w:rFonts w:hint="eastAsia"/>
          <w:lang w:val="en-US" w:eastAsia="zh-CN"/>
        </w:rPr>
        <w:t>数据来源：辽宁省南芬区水系连通及水美乡村建设试点县终期评估相关证明材料（上册）</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jc w:val="both"/>
        <w:textAlignment w:val="baseline"/>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2.产出质量</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工程验收通过率。</w:t>
      </w:r>
      <w:r>
        <w:rPr>
          <w:rFonts w:hint="eastAsia" w:ascii="仿宋_GB2312" w:hAnsi="仿宋_GB2312" w:eastAsia="仿宋_GB2312" w:cs="仿宋_GB2312"/>
          <w:b w:val="0"/>
          <w:bCs w:val="0"/>
          <w:snapToGrid w:val="0"/>
          <w:color w:val="000000"/>
          <w:kern w:val="2"/>
          <w:sz w:val="32"/>
          <w:szCs w:val="32"/>
          <w:lang w:val="en-US" w:eastAsia="zh-CN" w:bidi="ar-SA"/>
        </w:rPr>
        <w:t>截至2023年6月30日，只有南芬区流域水质达标一期工程完成并通过竣工验收，已完成竣工验收项目通过率达100%。大部分项目未开展竣工验收工作，预计年底前完成。指标满分5分，实际得分5分。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工程质量优良率。</w:t>
      </w:r>
      <w:r>
        <w:rPr>
          <w:rFonts w:hint="eastAsia" w:ascii="仿宋_GB2312" w:hAnsi="仿宋_GB2312" w:eastAsia="仿宋_GB2312" w:cs="仿宋_GB2312"/>
          <w:b w:val="0"/>
          <w:bCs w:val="0"/>
          <w:snapToGrid w:val="0"/>
          <w:color w:val="000000"/>
          <w:kern w:val="2"/>
          <w:sz w:val="32"/>
          <w:szCs w:val="32"/>
          <w:lang w:val="en-US" w:eastAsia="zh-CN" w:bidi="ar-SA"/>
        </w:rPr>
        <w:t>根据水利工程质量评定规程，对完成的单元、分部、单位工程进行了质量评定，共计完成单元工程4838个，单元工程合格率100%，其中优良单元工程4359个，优良率90.1%；分部工程43个，分部工程合格率100%，其中优良分部工程40个，优良率93%；单位工程8个，合格率100%，优良单位工程7个，优良率87.5%；工程质量达到优良等级。该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eastAsia"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地表水质达标率。</w:t>
      </w:r>
      <w:r>
        <w:rPr>
          <w:rFonts w:hint="eastAsia" w:ascii="仿宋_GB2312" w:hAnsi="仿宋_GB2312" w:eastAsia="仿宋_GB2312" w:cs="仿宋_GB2312"/>
          <w:b w:val="0"/>
          <w:bCs w:val="0"/>
          <w:snapToGrid w:val="0"/>
          <w:color w:val="000000"/>
          <w:kern w:val="2"/>
          <w:sz w:val="32"/>
          <w:szCs w:val="32"/>
          <w:lang w:val="en-US" w:eastAsia="zh-CN" w:bidi="ar-SA"/>
        </w:rPr>
        <w:t>项目实施提高了全域水体质量，全域水质能达到Ⅲ类及以上的标准，但由于缺少对河道水质达标情况的有效证明，无法确认达标率为100%。该指标满分4分，实际得分0分。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43" w:firstLineChars="200"/>
        <w:jc w:val="both"/>
        <w:textAlignment w:val="baseline"/>
        <w:rPr>
          <w:rFonts w:hint="default" w:ascii="仿宋_GB2312" w:hAnsi="仿宋_GB2312" w:eastAsia="仿宋_GB2312" w:cs="仿宋_GB2312"/>
          <w:b w:val="0"/>
          <w:bCs w:val="0"/>
          <w:snapToGrid w:val="0"/>
          <w:color w:val="000000"/>
          <w:kern w:val="2"/>
          <w:sz w:val="32"/>
          <w:szCs w:val="32"/>
          <w:lang w:val="en-US" w:eastAsia="zh-CN" w:bidi="ar-SA"/>
        </w:rPr>
      </w:pPr>
      <w:r>
        <w:rPr>
          <w:rFonts w:hint="eastAsia" w:ascii="仿宋_GB2312" w:hAnsi="仿宋_GB2312" w:eastAsia="仿宋_GB2312" w:cs="仿宋_GB2312"/>
          <w:b/>
          <w:bCs/>
          <w:snapToGrid w:val="0"/>
          <w:color w:val="000000"/>
          <w:kern w:val="2"/>
          <w:sz w:val="32"/>
          <w:szCs w:val="32"/>
          <w:lang w:val="en-US" w:eastAsia="zh-CN" w:bidi="ar-SA"/>
        </w:rPr>
        <w:t>河道“四乱”清除率。</w:t>
      </w:r>
      <w:r>
        <w:rPr>
          <w:rFonts w:hint="eastAsia" w:ascii="仿宋_GB2312" w:hAnsi="仿宋_GB2312" w:eastAsia="仿宋_GB2312" w:cs="仿宋_GB2312"/>
          <w:b w:val="0"/>
          <w:bCs w:val="0"/>
          <w:snapToGrid w:val="0"/>
          <w:color w:val="000000"/>
          <w:kern w:val="2"/>
          <w:sz w:val="32"/>
          <w:szCs w:val="32"/>
          <w:lang w:val="en-US" w:eastAsia="zh-CN" w:bidi="ar-SA"/>
        </w:rPr>
        <w:t>通过查询项目资料并对现场进行实地核查，河道清四乱工作做得很到位，河道两侧无乱占、乱采、乱堆、乱建等情况，清除率达到100%。该指标满分4分，实际得分4分。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88" w:firstLineChars="200"/>
        <w:jc w:val="both"/>
        <w:textAlignment w:val="baseline"/>
        <w:outlineLvl w:val="1"/>
        <w:rPr>
          <w:rFonts w:hint="eastAsia" w:ascii="楷体_GB2312" w:hAnsi="楷体_GB2312" w:eastAsia="楷体_GB2312" w:cs="楷体_GB2312"/>
          <w:spacing w:val="-13"/>
          <w:sz w:val="32"/>
          <w:szCs w:val="32"/>
        </w:rPr>
      </w:pPr>
      <w:bookmarkStart w:id="12" w:name="_Toc13952"/>
      <w:r>
        <w:rPr>
          <w:rFonts w:hint="eastAsia" w:ascii="楷体_GB2312" w:hAnsi="楷体_GB2312" w:eastAsia="楷体_GB2312" w:cs="楷体_GB2312"/>
          <w:spacing w:val="-13"/>
          <w:sz w:val="32"/>
          <w:szCs w:val="32"/>
        </w:rPr>
        <w:t>（四）项目效益情况</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24"/>
          <w:szCs w:val="24"/>
          <w:highlight w:val="none"/>
        </w:rPr>
      </w:pPr>
      <w:r>
        <w:rPr>
          <w:rFonts w:hint="eastAsia" w:ascii="仿宋_GB2312" w:hAnsi="仿宋_GB2312" w:eastAsia="仿宋_GB2312" w:cs="仿宋_GB2312"/>
          <w:sz w:val="32"/>
          <w:szCs w:val="36"/>
          <w:highlight w:val="none"/>
          <w:lang w:val="en-US" w:eastAsia="zh-CN"/>
        </w:rPr>
        <w:t>效益</w:t>
      </w:r>
      <w:r>
        <w:rPr>
          <w:rFonts w:hint="eastAsia" w:ascii="仿宋_GB2312" w:hAnsi="仿宋_GB2312" w:eastAsia="仿宋_GB2312" w:cs="仿宋_GB2312"/>
          <w:sz w:val="32"/>
          <w:szCs w:val="36"/>
          <w:highlight w:val="none"/>
        </w:rPr>
        <w:t>指标分值为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分，得分为</w:t>
      </w:r>
      <w:r>
        <w:rPr>
          <w:rFonts w:hint="eastAsia" w:ascii="仿宋_GB2312" w:hAnsi="仿宋_GB2312" w:eastAsia="仿宋_GB2312" w:cs="仿宋_GB2312"/>
          <w:sz w:val="32"/>
          <w:szCs w:val="36"/>
          <w:highlight w:val="none"/>
          <w:lang w:val="en-US" w:eastAsia="zh-CN"/>
        </w:rPr>
        <w:t>30</w:t>
      </w:r>
      <w:r>
        <w:rPr>
          <w:rFonts w:hint="eastAsia" w:ascii="仿宋_GB2312" w:hAnsi="仿宋_GB2312" w:eastAsia="仿宋_GB2312" w:cs="仿宋_GB2312"/>
          <w:sz w:val="32"/>
          <w:szCs w:val="36"/>
          <w:highlight w:val="none"/>
        </w:rPr>
        <w:t>分，指标得分率为</w:t>
      </w:r>
      <w:r>
        <w:rPr>
          <w:rFonts w:hint="eastAsia" w:ascii="仿宋_GB2312" w:hAnsi="仿宋_GB2312" w:eastAsia="仿宋_GB2312" w:cs="仿宋_GB2312"/>
          <w:sz w:val="32"/>
          <w:szCs w:val="36"/>
          <w:highlight w:val="none"/>
          <w:lang w:val="en-US" w:eastAsia="zh-CN"/>
        </w:rPr>
        <w:t>100</w:t>
      </w:r>
      <w:r>
        <w:rPr>
          <w:rFonts w:hint="eastAsia" w:ascii="仿宋_GB2312" w:hAnsi="仿宋_GB2312" w:eastAsia="仿宋_GB2312" w:cs="仿宋_GB2312"/>
          <w:sz w:val="32"/>
          <w:szCs w:val="36"/>
          <w:highlight w:val="none"/>
        </w:rPr>
        <w:t>%。下设</w:t>
      </w:r>
      <w:r>
        <w:rPr>
          <w:rFonts w:hint="eastAsia" w:ascii="仿宋_GB2312" w:hAnsi="仿宋_GB2312" w:eastAsia="仿宋_GB2312" w:cs="仿宋_GB2312"/>
          <w:sz w:val="32"/>
          <w:szCs w:val="36"/>
          <w:highlight w:val="none"/>
          <w:lang w:val="en-US" w:eastAsia="zh-CN"/>
        </w:rPr>
        <w:t>4</w:t>
      </w:r>
      <w:r>
        <w:rPr>
          <w:rFonts w:hint="eastAsia" w:ascii="仿宋_GB2312" w:hAnsi="仿宋_GB2312" w:eastAsia="仿宋_GB2312" w:cs="仿宋_GB2312"/>
          <w:sz w:val="32"/>
          <w:szCs w:val="36"/>
          <w:highlight w:val="none"/>
        </w:rPr>
        <w:t>个二级指标，</w:t>
      </w:r>
      <w:r>
        <w:rPr>
          <w:rFonts w:hint="eastAsia" w:ascii="仿宋_GB2312" w:hAnsi="仿宋_GB2312" w:eastAsia="仿宋_GB2312" w:cs="仿宋_GB2312"/>
          <w:sz w:val="32"/>
          <w:szCs w:val="36"/>
          <w:highlight w:val="none"/>
          <w:lang w:val="en-US" w:eastAsia="zh-CN"/>
        </w:rPr>
        <w:t>6</w:t>
      </w:r>
      <w:r>
        <w:rPr>
          <w:rFonts w:hint="eastAsia" w:ascii="仿宋_GB2312" w:hAnsi="仿宋_GB2312" w:eastAsia="仿宋_GB2312" w:cs="仿宋_GB2312"/>
          <w:sz w:val="32"/>
          <w:szCs w:val="36"/>
          <w:highlight w:val="none"/>
        </w:rPr>
        <w:t>个三级指标。各级指标设定及评分详见下表：</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b w:val="0"/>
          <w:bCs w:val="0"/>
          <w:sz w:val="24"/>
          <w:szCs w:val="24"/>
        </w:rPr>
      </w:pPr>
      <w:r>
        <w:rPr>
          <w:rFonts w:hint="eastAsia" w:ascii="黑体" w:hAnsi="黑体" w:eastAsia="黑体" w:cs="黑体"/>
          <w:b w:val="0"/>
          <w:bCs w:val="0"/>
          <w:sz w:val="24"/>
          <w:szCs w:val="24"/>
          <w:highlight w:val="none"/>
        </w:rPr>
        <w:t>表</w:t>
      </w:r>
      <w:r>
        <w:rPr>
          <w:rFonts w:hint="eastAsia" w:ascii="黑体" w:hAnsi="黑体" w:eastAsia="黑体" w:cs="黑体"/>
          <w:b w:val="0"/>
          <w:bCs w:val="0"/>
          <w:sz w:val="24"/>
          <w:szCs w:val="24"/>
          <w:highlight w:val="none"/>
          <w:lang w:val="en-US" w:eastAsia="zh-CN"/>
        </w:rPr>
        <w:t>4</w:t>
      </w:r>
      <w:r>
        <w:rPr>
          <w:rFonts w:hint="eastAsia" w:ascii="黑体" w:hAnsi="黑体" w:eastAsia="黑体" w:cs="黑体"/>
          <w:b w:val="0"/>
          <w:bCs w:val="0"/>
          <w:sz w:val="24"/>
          <w:szCs w:val="24"/>
          <w:highlight w:val="none"/>
        </w:rPr>
        <w:t>-</w:t>
      </w:r>
      <w:r>
        <w:rPr>
          <w:rFonts w:hint="eastAsia" w:ascii="黑体" w:hAnsi="黑体" w:eastAsia="黑体" w:cs="黑体"/>
          <w:b w:val="0"/>
          <w:bCs w:val="0"/>
          <w:sz w:val="24"/>
          <w:szCs w:val="24"/>
          <w:highlight w:val="none"/>
          <w:lang w:val="en-US" w:eastAsia="zh-CN"/>
        </w:rPr>
        <w:t>5</w:t>
      </w:r>
      <w:r>
        <w:rPr>
          <w:rFonts w:hint="eastAsia" w:ascii="黑体" w:hAnsi="黑体" w:eastAsia="黑体" w:cs="黑体"/>
          <w:b w:val="0"/>
          <w:bCs w:val="0"/>
          <w:sz w:val="24"/>
          <w:szCs w:val="24"/>
          <w:highlight w:val="none"/>
        </w:rPr>
        <w:t xml:space="preserve"> </w:t>
      </w:r>
      <w:r>
        <w:rPr>
          <w:rFonts w:hint="eastAsia" w:ascii="黑体" w:hAnsi="黑体" w:eastAsia="黑体" w:cs="黑体"/>
          <w:b w:val="0"/>
          <w:bCs w:val="0"/>
          <w:sz w:val="24"/>
          <w:szCs w:val="24"/>
          <w:highlight w:val="none"/>
          <w:lang w:val="en-US" w:eastAsia="zh-CN"/>
        </w:rPr>
        <w:t>效益</w:t>
      </w:r>
      <w:r>
        <w:rPr>
          <w:rFonts w:hint="eastAsia" w:ascii="黑体" w:hAnsi="黑体" w:eastAsia="黑体" w:cs="黑体"/>
          <w:b w:val="0"/>
          <w:bCs w:val="0"/>
          <w:sz w:val="24"/>
          <w:szCs w:val="24"/>
          <w:highlight w:val="none"/>
        </w:rPr>
        <w:t>指标得分情况表</w:t>
      </w:r>
    </w:p>
    <w:tbl>
      <w:tblPr>
        <w:tblStyle w:val="11"/>
        <w:tblW w:w="83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63"/>
        <w:gridCol w:w="1664"/>
        <w:gridCol w:w="2330"/>
        <w:gridCol w:w="1457"/>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0" w:hRule="atLeast"/>
          <w:tblHeader/>
          <w:jc w:val="center"/>
        </w:trPr>
        <w:tc>
          <w:tcPr>
            <w:tcW w:w="15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指标分值</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指标得分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jc w:val="center"/>
        </w:trPr>
        <w:tc>
          <w:tcPr>
            <w:tcW w:w="1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效益</w:t>
            </w:r>
            <w:r>
              <w:rPr>
                <w:rFonts w:hint="eastAsia" w:ascii="宋体" w:hAnsi="宋体" w:eastAsia="宋体" w:cs="宋体"/>
                <w:b/>
                <w:bCs/>
                <w:i w:val="0"/>
                <w:iCs w:val="0"/>
                <w:snapToGrid w:val="0"/>
                <w:color w:val="000000"/>
                <w:kern w:val="0"/>
                <w:sz w:val="20"/>
                <w:szCs w:val="20"/>
                <w:u w:val="none"/>
                <w:lang w:val="en-US" w:eastAsia="zh-CN" w:bidi="ar"/>
              </w:rPr>
              <w:br w:type="textWrapping"/>
            </w:r>
            <w:r>
              <w:rPr>
                <w:rFonts w:hint="eastAsia" w:ascii="宋体" w:hAnsi="宋体" w:eastAsia="宋体" w:cs="宋体"/>
                <w:b/>
                <w:bCs/>
                <w:i w:val="0"/>
                <w:iCs w:val="0"/>
                <w:snapToGrid w:val="0"/>
                <w:color w:val="000000"/>
                <w:kern w:val="0"/>
                <w:sz w:val="20"/>
                <w:szCs w:val="20"/>
                <w:u w:val="none"/>
                <w:lang w:val="en-US" w:eastAsia="zh-CN" w:bidi="ar"/>
              </w:rPr>
              <w:t>（30）</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jc w:val="center"/>
        </w:trPr>
        <w:tc>
          <w:tcPr>
            <w:tcW w:w="1563"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664" w:type="dxa"/>
            <w:vMerge w:val="restart"/>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社会效益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pacing w:line="240" w:lineRule="auto"/>
              <w:jc w:val="center"/>
              <w:rPr>
                <w:rFonts w:hint="default"/>
                <w:lang w:val="en-US" w:eastAsia="zh-CN"/>
              </w:rPr>
            </w:pPr>
            <w:r>
              <w:rPr>
                <w:rFonts w:hint="eastAsia" w:asciiTheme="minorEastAsia" w:hAnsiTheme="minorEastAsia" w:eastAsiaTheme="minorEastAsia" w:cstheme="minorEastAsia"/>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防洪排涝能力显著提升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40" w:hRule="atLeast"/>
          <w:jc w:val="center"/>
        </w:trPr>
        <w:tc>
          <w:tcPr>
            <w:tcW w:w="1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p>
        </w:tc>
        <w:tc>
          <w:tcPr>
            <w:tcW w:w="2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0" w:hRule="atLeast"/>
          <w:jc w:val="center"/>
        </w:trPr>
        <w:tc>
          <w:tcPr>
            <w:tcW w:w="55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合 计</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30</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30</w:t>
            </w:r>
          </w:p>
        </w:tc>
      </w:tr>
    </w:tbl>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1.经济效益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rPr>
        <w:t>区域居民收入增长</w:t>
      </w:r>
      <w:r>
        <w:rPr>
          <w:rFonts w:hint="eastAsia" w:ascii="仿宋_GB2312" w:hAnsi="仿宋_GB2312" w:eastAsia="仿宋_GB2312" w:cs="仿宋_GB2312"/>
          <w:b/>
          <w:bCs/>
          <w:spacing w:val="-2"/>
          <w:sz w:val="32"/>
          <w:szCs w:val="32"/>
          <w:lang w:eastAsia="zh-CN"/>
        </w:rPr>
        <w:t>。</w:t>
      </w:r>
      <w:r>
        <w:rPr>
          <w:rFonts w:hint="eastAsia" w:ascii="仿宋_GB2312" w:hAnsi="仿宋_GB2312" w:eastAsia="仿宋_GB2312" w:cs="仿宋_GB2312"/>
          <w:spacing w:val="-2"/>
          <w:sz w:val="32"/>
          <w:szCs w:val="32"/>
          <w:lang w:val="en-US" w:eastAsia="zh-CN"/>
        </w:rPr>
        <w:t>项目实施一定程度上增加了本区域居民的收益，村民生活条件明显改善，主要表现为：</w:t>
      </w:r>
      <w:r>
        <w:rPr>
          <w:rFonts w:hint="eastAsia" w:ascii="仿宋_GB2312" w:hAnsi="仿宋_GB2312" w:eastAsia="仿宋_GB2312" w:cs="仿宋_GB2312"/>
          <w:b/>
          <w:bCs/>
          <w:spacing w:val="-2"/>
          <w:sz w:val="32"/>
          <w:szCs w:val="32"/>
          <w:lang w:val="en-US" w:eastAsia="zh-CN"/>
        </w:rPr>
        <w:t>一是</w:t>
      </w:r>
      <w:r>
        <w:rPr>
          <w:rFonts w:hint="eastAsia" w:ascii="仿宋_GB2312" w:hAnsi="仿宋_GB2312" w:eastAsia="仿宋_GB2312" w:cs="仿宋_GB2312"/>
          <w:spacing w:val="-2"/>
          <w:sz w:val="32"/>
          <w:szCs w:val="32"/>
          <w:lang w:val="en-US" w:eastAsia="zh-CN"/>
        </w:rPr>
        <w:t>项目实施过程中，南芬区要求EPC承包人对技术含量较低的项目，通过技术培训，积极吸纳当地村民出劳务，据统计，当地村民出劳务30000工日，为村民增收600万元。项目直接惠及人口达2000人以上，仅城外鱼庄一个项目就带动就业300人，人均收入5000元/月以上；</w:t>
      </w:r>
      <w:r>
        <w:rPr>
          <w:rFonts w:hint="eastAsia" w:ascii="仿宋_GB2312" w:hAnsi="仿宋_GB2312" w:eastAsia="仿宋_GB2312" w:cs="仿宋_GB2312"/>
          <w:b/>
          <w:bCs/>
          <w:spacing w:val="-2"/>
          <w:sz w:val="32"/>
          <w:szCs w:val="32"/>
          <w:lang w:val="en-US" w:eastAsia="zh-CN"/>
        </w:rPr>
        <w:t>二是</w:t>
      </w:r>
      <w:r>
        <w:rPr>
          <w:rFonts w:hint="eastAsia" w:ascii="仿宋_GB2312" w:hAnsi="仿宋_GB2312" w:eastAsia="仿宋_GB2312" w:cs="仿宋_GB2312"/>
          <w:spacing w:val="-2"/>
          <w:sz w:val="32"/>
          <w:szCs w:val="32"/>
          <w:lang w:val="en-US" w:eastAsia="zh-CN"/>
        </w:rPr>
        <w:t>一些特色项目的建设吸引了社会资本的投入，如：三台子村湿地公园水利投资440万元，带动社会资本投资2000万元建设500亩的草药园，是一个集三倍体苍术（450亩）、白鲜皮（50亩）种植培育及农事体验为一体的现代农业高标准经济示范基地园区。冷水鱼特色小镇湿地公园水利投资800万元，通过水系治理和节点建设，成功吸引社会资本8000万元，建成集虹鳟鱼（国家地理标志产品）、鲟鱼等冷水鱼养殖、销售、餐饮及民宿、游乐、演出为一体的城外鱼庄，已成为精品民宿新地标。房家堡子大桥湿地公园节点水利投资600万元，建设拦水堰、休闲广场、房车营地，吸引社会资本1000万元投资七彩灵芝庄园等等；</w:t>
      </w:r>
      <w:r>
        <w:rPr>
          <w:rFonts w:hint="eastAsia" w:ascii="仿宋_GB2312" w:hAnsi="仿宋_GB2312" w:eastAsia="仿宋_GB2312" w:cs="仿宋_GB2312"/>
          <w:b/>
          <w:bCs/>
          <w:spacing w:val="-2"/>
          <w:sz w:val="32"/>
          <w:szCs w:val="32"/>
          <w:lang w:val="en-US" w:eastAsia="zh-CN"/>
        </w:rPr>
        <w:t>三是</w:t>
      </w:r>
      <w:r>
        <w:rPr>
          <w:rFonts w:hint="eastAsia" w:ascii="仿宋_GB2312" w:hAnsi="仿宋_GB2312" w:eastAsia="仿宋_GB2312" w:cs="仿宋_GB2312"/>
          <w:b w:val="0"/>
          <w:bCs w:val="0"/>
          <w:spacing w:val="-2"/>
          <w:sz w:val="32"/>
          <w:szCs w:val="32"/>
          <w:lang w:val="en-US" w:eastAsia="zh-CN"/>
        </w:rPr>
        <w:t>通过项目建设，南芬区农村水系普遍达到了10年一遇防洪标准，</w:t>
      </w:r>
      <w:r>
        <w:rPr>
          <w:rFonts w:hint="eastAsia" w:ascii="仿宋_GB2312" w:hAnsi="仿宋_GB2312" w:eastAsia="仿宋_GB2312" w:cs="仿宋_GB2312"/>
          <w:spacing w:val="-2"/>
          <w:sz w:val="32"/>
          <w:szCs w:val="32"/>
          <w:lang w:eastAsia="zh-CN"/>
        </w:rPr>
        <w:t>防洪除涝受益面积5.1万亩，</w:t>
      </w:r>
      <w:r>
        <w:rPr>
          <w:rFonts w:hint="eastAsia" w:ascii="仿宋_GB2312" w:hAnsi="仿宋_GB2312" w:eastAsia="仿宋_GB2312" w:cs="仿宋_GB2312"/>
          <w:spacing w:val="-2"/>
          <w:sz w:val="32"/>
          <w:szCs w:val="32"/>
          <w:lang w:val="en-US" w:eastAsia="zh-CN"/>
        </w:rPr>
        <w:t>多</w:t>
      </w:r>
      <w:r>
        <w:rPr>
          <w:rFonts w:hint="eastAsia" w:ascii="仿宋_GB2312" w:hAnsi="仿宋_GB2312" w:eastAsia="仿宋_GB2312" w:cs="仿宋_GB2312"/>
          <w:spacing w:val="-2"/>
          <w:sz w:val="32"/>
          <w:szCs w:val="32"/>
          <w:lang w:eastAsia="zh-CN"/>
        </w:rPr>
        <w:t>年平均经济效益超</w:t>
      </w:r>
      <w:r>
        <w:rPr>
          <w:rFonts w:hint="eastAsia" w:ascii="仿宋_GB2312" w:hAnsi="仿宋_GB2312" w:eastAsia="仿宋_GB2312" w:cs="仿宋_GB2312"/>
          <w:spacing w:val="-2"/>
          <w:sz w:val="32"/>
          <w:szCs w:val="32"/>
          <w:lang w:val="en-US" w:eastAsia="zh-CN"/>
        </w:rPr>
        <w:t>千</w:t>
      </w:r>
      <w:r>
        <w:rPr>
          <w:rFonts w:hint="eastAsia" w:ascii="仿宋_GB2312" w:hAnsi="仿宋_GB2312" w:eastAsia="仿宋_GB2312" w:cs="仿宋_GB2312"/>
          <w:spacing w:val="-2"/>
          <w:sz w:val="32"/>
          <w:szCs w:val="32"/>
          <w:lang w:eastAsia="zh-CN"/>
        </w:rPr>
        <w:t>万元。</w:t>
      </w:r>
      <w:r>
        <w:rPr>
          <w:rFonts w:hint="eastAsia" w:ascii="仿宋_GB2312" w:hAnsi="仿宋_GB2312" w:eastAsia="仿宋_GB2312" w:cs="仿宋_GB2312"/>
          <w:b w:val="0"/>
          <w:bCs w:val="0"/>
          <w:snapToGrid w:val="0"/>
          <w:color w:val="000000"/>
          <w:kern w:val="2"/>
          <w:sz w:val="32"/>
          <w:szCs w:val="32"/>
          <w:lang w:val="en-US" w:eastAsia="zh-CN" w:bidi="ar-SA"/>
        </w:rPr>
        <w:t>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2.社会效益</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受益人口数。</w:t>
      </w:r>
      <w:r>
        <w:rPr>
          <w:rFonts w:hint="eastAsia" w:ascii="仿宋_GB2312" w:hAnsi="仿宋_GB2312" w:eastAsia="仿宋_GB2312" w:cs="仿宋_GB2312"/>
          <w:spacing w:val="-2"/>
          <w:sz w:val="32"/>
          <w:szCs w:val="32"/>
          <w:lang w:val="en-US" w:eastAsia="zh-CN"/>
        </w:rPr>
        <w:t>项目实施显著改善人居环境，提升水资源生产保障能力，村民生活条件有所改善，受益村庄18个，受益人口达2.38万人，有效带动区域产业高质量发展。</w:t>
      </w:r>
      <w:r>
        <w:rPr>
          <w:rFonts w:hint="eastAsia" w:ascii="仿宋_GB2312" w:hAnsi="仿宋_GB2312" w:eastAsia="仿宋_GB2312" w:cs="仿宋_GB2312"/>
          <w:b w:val="0"/>
          <w:bCs w:val="0"/>
          <w:snapToGrid w:val="0"/>
          <w:color w:val="000000"/>
          <w:kern w:val="2"/>
          <w:sz w:val="32"/>
          <w:szCs w:val="32"/>
          <w:lang w:val="en-US" w:eastAsia="zh-CN" w:bidi="ar-SA"/>
        </w:rPr>
        <w:t>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635" w:firstLineChars="200"/>
        <w:jc w:val="both"/>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化肥农药使用量减少。</w:t>
      </w:r>
      <w:r>
        <w:rPr>
          <w:rFonts w:hint="eastAsia" w:ascii="仿宋_GB2312" w:hAnsi="仿宋_GB2312" w:eastAsia="仿宋_GB2312" w:cs="仿宋_GB2312"/>
          <w:spacing w:val="-2"/>
          <w:sz w:val="32"/>
          <w:szCs w:val="32"/>
          <w:lang w:val="en-US" w:eastAsia="zh-CN"/>
        </w:rPr>
        <w:t>针对南芬区河流面源污染较重、农村居民傍水而居且人居环境较差等现实情况，项目采取了化肥减量（有机肥推广）等措施，通过采购有机肥料免费送到村民手中</w:t>
      </w:r>
      <w:r>
        <w:rPr>
          <w:rFonts w:hint="eastAsia" w:ascii="仿宋_GB2312" w:hAnsi="仿宋_GB2312" w:eastAsia="仿宋_GB2312" w:cs="仿宋_GB2312"/>
          <w:spacing w:val="-2"/>
          <w:sz w:val="32"/>
          <w:szCs w:val="32"/>
          <w:highlight w:val="none"/>
          <w:lang w:val="en-US" w:eastAsia="zh-CN"/>
        </w:rPr>
        <w:t>（每家3袋，每袋施肥面积0.5亩），减少村民使用化肥农药，达到化肥及农药使用量减少约30%（按人均1.22亩耕地计算）的显著成效。</w:t>
      </w:r>
      <w:r>
        <w:rPr>
          <w:rFonts w:hint="eastAsia" w:ascii="仿宋_GB2312" w:hAnsi="仿宋_GB2312" w:eastAsia="仿宋_GB2312" w:cs="仿宋_GB2312"/>
          <w:b w:val="0"/>
          <w:bCs w:val="0"/>
          <w:snapToGrid w:val="0"/>
          <w:color w:val="000000"/>
          <w:kern w:val="2"/>
          <w:sz w:val="32"/>
          <w:szCs w:val="32"/>
          <w:highlight w:val="none"/>
          <w:lang w:val="en-US" w:eastAsia="zh-CN" w:bidi="ar-SA"/>
        </w:rPr>
        <w:t>指</w:t>
      </w:r>
      <w:r>
        <w:rPr>
          <w:rFonts w:hint="eastAsia" w:ascii="仿宋_GB2312" w:hAnsi="仿宋_GB2312" w:eastAsia="仿宋_GB2312" w:cs="仿宋_GB2312"/>
          <w:b w:val="0"/>
          <w:bCs w:val="0"/>
          <w:snapToGrid w:val="0"/>
          <w:color w:val="000000"/>
          <w:kern w:val="2"/>
          <w:sz w:val="32"/>
          <w:szCs w:val="32"/>
          <w:lang w:val="en-US" w:eastAsia="zh-CN" w:bidi="ar-SA"/>
        </w:rPr>
        <w:t>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firstLine="563" w:firstLineChars="200"/>
        <w:textAlignment w:val="baseline"/>
        <w:outlineLvl w:val="9"/>
        <w:rPr>
          <w:rFonts w:hint="eastAsia" w:ascii="仿宋_GB2312" w:hAnsi="仿宋_GB2312" w:eastAsia="仿宋_GB2312" w:cs="仿宋_GB2312"/>
          <w:b/>
          <w:bCs/>
          <w:spacing w:val="-20"/>
          <w:sz w:val="32"/>
          <w:szCs w:val="32"/>
          <w:lang w:val="en-US" w:eastAsia="zh-CN"/>
        </w:rPr>
      </w:pPr>
      <w:r>
        <w:rPr>
          <w:rFonts w:hint="eastAsia" w:ascii="仿宋_GB2312" w:hAnsi="仿宋_GB2312" w:eastAsia="仿宋_GB2312" w:cs="仿宋_GB2312"/>
          <w:b/>
          <w:bCs/>
          <w:spacing w:val="-20"/>
          <w:sz w:val="32"/>
          <w:szCs w:val="32"/>
          <w:lang w:val="en-US" w:eastAsia="zh-CN"/>
        </w:rPr>
        <w:t>3.生态效益</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35" w:firstLineChars="200"/>
        <w:jc w:val="left"/>
        <w:textAlignment w:val="baseline"/>
        <w:rPr>
          <w:rFonts w:hint="default"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农村水系功能及生态环境改善。</w:t>
      </w:r>
      <w:r>
        <w:rPr>
          <w:rFonts w:hint="eastAsia" w:ascii="仿宋_GB2312" w:hAnsi="仿宋_GB2312" w:eastAsia="仿宋_GB2312" w:cs="仿宋_GB2312"/>
          <w:spacing w:val="-2"/>
          <w:sz w:val="32"/>
          <w:szCs w:val="32"/>
          <w:lang w:val="en-US" w:eastAsia="zh-CN"/>
        </w:rPr>
        <w:t>水利方面，工程对河道湖塘水系进行全部贯通、河道四乱全面清理，通过有机肥推广和生活垃圾污水的有效管护和治理来减少对水资源的污染。生态环境方面，建设河道生态岸线、重要节点湿地公园、</w:t>
      </w:r>
      <w:r>
        <w:rPr>
          <w:rFonts w:ascii="仿宋_GB2312" w:hAnsi="宋体" w:eastAsia="仿宋_GB2312" w:cs="仿宋_GB2312"/>
          <w:snapToGrid w:val="0"/>
          <w:color w:val="000000"/>
          <w:kern w:val="0"/>
          <w:sz w:val="32"/>
          <w:szCs w:val="32"/>
          <w:lang w:val="en-US" w:eastAsia="zh-CN" w:bidi="ar"/>
        </w:rPr>
        <w:t>亲水村民广场、亲水平台、漫步道</w:t>
      </w:r>
      <w:r>
        <w:rPr>
          <w:rFonts w:hint="eastAsia" w:ascii="仿宋_GB2312" w:hAnsi="仿宋_GB2312" w:eastAsia="仿宋_GB2312" w:cs="仿宋_GB2312"/>
          <w:spacing w:val="-2"/>
          <w:sz w:val="32"/>
          <w:szCs w:val="32"/>
          <w:lang w:val="en-US" w:eastAsia="zh-CN"/>
        </w:rPr>
        <w:t>，清理建筑生活垃圾并合理布设垃圾站，水源涵养与水土保持面积不断增加。水资源的管护和水质的提升同样是生态环境改进的重要环节，多项举措促进农村水系功能达到一定高度，防洪达到10年一遇标准，生态环境持续向好，吸引社会资本不断来区投资，人民安居乐业。指标满分5分，实际得分5分。</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5" w:firstLineChars="200"/>
        <w:textAlignment w:val="baseline"/>
        <w:outlineLvl w:val="9"/>
        <w:rPr>
          <w:rFonts w:hint="eastAsia" w:ascii="仿宋_GB2312" w:hAnsi="仿宋_GB2312" w:eastAsia="仿宋_GB2312" w:cs="仿宋_GB2312"/>
          <w:spacing w:val="-2"/>
          <w:sz w:val="32"/>
          <w:szCs w:val="32"/>
          <w:lang w:val="en-US" w:eastAsia="zh-CN"/>
        </w:rPr>
      </w:pPr>
      <w:r>
        <w:rPr>
          <w:rFonts w:hint="eastAsia" w:ascii="仿宋_GB2312" w:hAnsi="仿宋_GB2312" w:eastAsia="仿宋_GB2312" w:cs="仿宋_GB2312"/>
          <w:b/>
          <w:bCs/>
          <w:spacing w:val="-2"/>
          <w:sz w:val="32"/>
          <w:szCs w:val="32"/>
          <w:lang w:val="en-US" w:eastAsia="zh-CN"/>
        </w:rPr>
        <w:t>防洪排涝能力显著提升。</w:t>
      </w:r>
      <w:r>
        <w:rPr>
          <w:rFonts w:hint="eastAsia" w:ascii="仿宋_GB2312" w:hAnsi="仿宋_GB2312" w:eastAsia="仿宋_GB2312" w:cs="仿宋_GB2312"/>
          <w:spacing w:val="-2"/>
          <w:sz w:val="32"/>
          <w:szCs w:val="32"/>
          <w:lang w:val="en-US" w:eastAsia="zh-CN"/>
        </w:rPr>
        <w:t>通过实施水系连通、清淤清障、岸坡整治、水源涵养及水土保持、河道管护等工程措施，农村水系得到显著改善。通过建设各种类型的护岸工程，河道生态岸线率大幅度提升，河道空间形态得到有效修复，“以河养河”的良性管护机制初步建立，南芬区农村水系普遍达到了10年一遇防洪标准，防洪排涝能力不断提升。工程建设期间，经受住了2022年7月7日三道河、大石河水系的洪水考验，保护了全域村民的生命财产安全。指标满分5分，实际得分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635" w:firstLineChars="200"/>
        <w:textAlignment w:val="baseline"/>
        <w:rPr>
          <w:rFonts w:hint="eastAsia" w:ascii="仿宋_GB2312" w:hAnsi="仿宋_GB2312" w:eastAsia="仿宋_GB2312" w:cs="仿宋_GB2312"/>
          <w:b/>
          <w:bCs/>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4.满意度</w:t>
      </w:r>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24"/>
        <w:jc w:val="both"/>
        <w:textAlignment w:val="baseline"/>
        <w:rPr>
          <w:rFonts w:hint="eastAsia" w:ascii="仿宋_GB2312" w:hAnsi="仿宋_GB2312" w:eastAsia="仿宋_GB2312" w:cs="仿宋_GB2312"/>
          <w:bCs w:val="0"/>
          <w:snapToGrid w:val="0"/>
          <w:color w:val="000000"/>
          <w:spacing w:val="-2"/>
          <w:kern w:val="0"/>
          <w:sz w:val="32"/>
          <w:szCs w:val="32"/>
          <w:lang w:val="en-US" w:eastAsia="zh-CN"/>
        </w:rPr>
      </w:pPr>
      <w:r>
        <w:rPr>
          <w:rFonts w:hint="eastAsia" w:ascii="仿宋_GB2312" w:hAnsi="仿宋_GB2312" w:eastAsia="仿宋_GB2312" w:cs="仿宋_GB2312"/>
          <w:b/>
          <w:bCs/>
          <w:snapToGrid w:val="0"/>
          <w:color w:val="000000"/>
          <w:spacing w:val="-2"/>
          <w:kern w:val="0"/>
          <w:sz w:val="32"/>
          <w:szCs w:val="32"/>
          <w:lang w:val="en-US" w:eastAsia="zh-CN"/>
        </w:rPr>
        <w:t>区域居民满意度。</w:t>
      </w:r>
      <w:r>
        <w:rPr>
          <w:rFonts w:hint="eastAsia" w:ascii="仿宋_GB2312" w:hAnsi="仿宋_GB2312" w:eastAsia="仿宋_GB2312" w:cs="仿宋_GB2312"/>
          <w:bCs w:val="0"/>
          <w:snapToGrid w:val="0"/>
          <w:color w:val="000000"/>
          <w:spacing w:val="-2"/>
          <w:kern w:val="0"/>
          <w:sz w:val="32"/>
          <w:szCs w:val="32"/>
          <w:lang w:val="en-US" w:eastAsia="zh-CN"/>
        </w:rPr>
        <w:t>本次评价通过对项目实施地周边群众开展满意度调查工作，共回收问卷77份，其中有效问卷76份，居民对该项目的总体满意度较高，达100%。本次通过设计建设工期满意度、建设成效满意度、建成后的管理维护满意度、处理问题及时性和有效性满意度等四个维度对项目总体满意度进行考量，结果为各维度的满意程度均为100%，项目建设成效显著。指标满分5分，实际得分5分。</w:t>
      </w:r>
    </w:p>
    <w:p>
      <w:pPr>
        <w:pStyle w:val="2"/>
        <w:keepNext w:val="0"/>
        <w:keepLines w:val="0"/>
        <w:pageBreakBefore w:val="0"/>
        <w:widowControl w:val="0"/>
        <w:numPr>
          <w:ilvl w:val="0"/>
          <w:numId w:val="0"/>
        </w:numPr>
        <w:kinsoku w:val="0"/>
        <w:wordWrap/>
        <w:overflowPunct/>
        <w:topLinePunct w:val="0"/>
        <w:autoSpaceDE w:val="0"/>
        <w:autoSpaceDN w:val="0"/>
        <w:bidi w:val="0"/>
        <w:adjustRightInd w:val="0"/>
        <w:snapToGrid w:val="0"/>
        <w:jc w:val="center"/>
        <w:textAlignment w:val="baseline"/>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表4-6 满意度指标调查情况及结果分析表</w:t>
      </w:r>
    </w:p>
    <w:tbl>
      <w:tblPr>
        <w:tblStyle w:val="11"/>
        <w:tblW w:w="9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0"/>
        <w:gridCol w:w="2200"/>
        <w:gridCol w:w="1300"/>
        <w:gridCol w:w="1510"/>
        <w:gridCol w:w="1480"/>
        <w:gridCol w:w="103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维  度</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问卷有效数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非常满意人数</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比较满意人数</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满意度</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综合满意度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建设工期满意度</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76</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建设成效满意度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73</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建成后的管理维护满意度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74</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0" w:hRule="atLeast"/>
          <w:jc w:val="center"/>
        </w:trPr>
        <w:tc>
          <w:tcPr>
            <w:tcW w:w="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处理问题及时性和有效性满意度</w:t>
            </w: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75</w:t>
            </w:r>
          </w:p>
        </w:tc>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0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bl>
    <w:p>
      <w:pPr>
        <w:pStyle w:val="2"/>
        <w:rPr>
          <w:rFonts w:hint="default"/>
          <w:lang w:val="en-US" w:eastAsia="zh-CN"/>
        </w:rPr>
      </w:pPr>
      <w:r>
        <w:rPr>
          <w:rFonts w:hint="eastAsia"/>
          <w:lang w:val="en-US" w:eastAsia="zh-CN"/>
        </w:rPr>
        <w:t>数据来源：满意度调查</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ascii="黑体" w:hAnsi="黑体" w:eastAsia="黑体" w:cs="黑体"/>
          <w:spacing w:val="-2"/>
          <w:sz w:val="32"/>
          <w:szCs w:val="32"/>
        </w:rPr>
      </w:pPr>
      <w:bookmarkStart w:id="13" w:name="_Toc15368"/>
      <w:r>
        <w:rPr>
          <w:rFonts w:ascii="黑体" w:hAnsi="黑体" w:eastAsia="黑体" w:cs="黑体"/>
          <w:spacing w:val="-2"/>
          <w:sz w:val="32"/>
          <w:szCs w:val="32"/>
        </w:rPr>
        <w:t>五、主要经验及做法</w:t>
      </w:r>
      <w:bookmarkEnd w:id="13"/>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4" w:name="_Toc18937"/>
      <w:r>
        <w:rPr>
          <w:rFonts w:hint="eastAsia" w:ascii="楷体_GB2312" w:hAnsi="楷体_GB2312" w:eastAsia="楷体_GB2312" w:cs="楷体_GB2312"/>
          <w:b w:val="0"/>
          <w:bCs w:val="0"/>
          <w:snapToGrid w:val="0"/>
          <w:color w:val="000000"/>
          <w:spacing w:val="-2"/>
          <w:kern w:val="0"/>
          <w:sz w:val="32"/>
          <w:szCs w:val="32"/>
          <w:lang w:val="en-US" w:eastAsia="zh-CN"/>
        </w:rPr>
        <w:t>（一）三级联动成合力，保障工作做到位</w:t>
      </w:r>
      <w:bookmarkEnd w:id="14"/>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32" w:firstLineChars="200"/>
        <w:jc w:val="both"/>
        <w:textAlignment w:val="baseline"/>
        <w:rPr>
          <w:rFonts w:hint="eastAsia" w:ascii="仿宋_GB2312" w:hAnsi="仿宋_GB2312" w:eastAsia="仿宋_GB2312" w:cs="仿宋_GB2312"/>
          <w:snapToGrid w:val="0"/>
          <w:color w:val="000000"/>
          <w:spacing w:val="-2"/>
          <w:kern w:val="0"/>
          <w:sz w:val="32"/>
          <w:szCs w:val="32"/>
          <w:lang w:val="en-US" w:eastAsia="zh-CN"/>
        </w:rPr>
      </w:pPr>
      <w:r>
        <w:rPr>
          <w:rFonts w:hint="eastAsia" w:ascii="仿宋_GB2312" w:hAnsi="仿宋_GB2312" w:eastAsia="仿宋_GB2312" w:cs="仿宋_GB2312"/>
          <w:snapToGrid w:val="0"/>
          <w:color w:val="000000"/>
          <w:spacing w:val="-2"/>
          <w:kern w:val="0"/>
          <w:sz w:val="32"/>
          <w:szCs w:val="32"/>
          <w:lang w:val="en-US" w:eastAsia="zh-CN"/>
        </w:rPr>
        <w:t>为确保项目精准落地、扎实推进，省、市、区三级联动、上下一心，合力推进项目建设。辽宁省委、省政府高度重视水美乡村建设，省委副书记、省长李乐成亲赴南芬区，现场调研指导水美乡村试点项目建设，主管副省长先后两次现场调研指导水美乡村项目建设。省财政厅安排专项资金为水美乡村建设“锦上添花”，省水利厅成立以主管副厅长牵头的工作专班，对实施方案编制、项目前期推进、建设过程管控、建立长效机制等方面“保驾护航”。</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textAlignment w:val="baseline"/>
        <w:rPr>
          <w:rFonts w:hint="default" w:ascii="仿宋_GB2312" w:hAnsi="仿宋_GB2312" w:eastAsia="仿宋_GB2312" w:cs="仿宋_GB2312"/>
          <w:bCs/>
          <w:snapToGrid w:val="0"/>
          <w:color w:val="000000"/>
          <w:spacing w:val="-2"/>
          <w:kern w:val="0"/>
          <w:sz w:val="32"/>
          <w:szCs w:val="32"/>
          <w:lang w:val="en-US" w:eastAsia="zh-CN"/>
        </w:rPr>
      </w:pPr>
      <w:r>
        <w:rPr>
          <w:rFonts w:hint="default" w:ascii="仿宋_GB2312" w:hAnsi="仿宋_GB2312" w:eastAsia="仿宋_GB2312" w:cs="仿宋_GB2312"/>
          <w:bCs/>
          <w:snapToGrid w:val="0"/>
          <w:color w:val="000000"/>
          <w:spacing w:val="-2"/>
          <w:kern w:val="0"/>
          <w:sz w:val="32"/>
          <w:szCs w:val="32"/>
          <w:lang w:val="en-US" w:eastAsia="zh-CN"/>
        </w:rPr>
        <w:t>本溪市成立由市委书记吴澜任组长，分管副市长方颖任副组长，市水务局、市发展改革委、市生态环境局、南芬区为成员的水利工作专班，专责推进南芬区水美乡村建设项目</w:t>
      </w:r>
      <w:r>
        <w:rPr>
          <w:rFonts w:hint="eastAsia" w:ascii="仿宋_GB2312" w:hAnsi="仿宋_GB2312" w:eastAsia="仿宋_GB2312" w:cs="仿宋_GB2312"/>
          <w:bCs/>
          <w:snapToGrid w:val="0"/>
          <w:color w:val="000000"/>
          <w:spacing w:val="-2"/>
          <w:kern w:val="0"/>
          <w:sz w:val="32"/>
          <w:szCs w:val="32"/>
          <w:lang w:val="en-US" w:eastAsia="zh-CN"/>
        </w:rPr>
        <w:t>。</w:t>
      </w:r>
      <w:r>
        <w:rPr>
          <w:rFonts w:hint="default" w:ascii="仿宋_GB2312" w:hAnsi="仿宋_GB2312" w:eastAsia="仿宋_GB2312" w:cs="仿宋_GB2312"/>
          <w:bCs/>
          <w:snapToGrid w:val="0"/>
          <w:color w:val="000000"/>
          <w:spacing w:val="-2"/>
          <w:kern w:val="0"/>
          <w:sz w:val="32"/>
          <w:szCs w:val="32"/>
          <w:lang w:val="en-US" w:eastAsia="zh-CN"/>
        </w:rPr>
        <w:t>市委、市政府主要领导</w:t>
      </w:r>
      <w:r>
        <w:rPr>
          <w:rFonts w:hint="eastAsia" w:ascii="仿宋_GB2312" w:hAnsi="仿宋_GB2312" w:eastAsia="仿宋_GB2312" w:cs="仿宋_GB2312"/>
          <w:bCs/>
          <w:snapToGrid w:val="0"/>
          <w:color w:val="000000"/>
          <w:spacing w:val="-2"/>
          <w:kern w:val="0"/>
          <w:sz w:val="32"/>
          <w:szCs w:val="32"/>
          <w:lang w:val="en-US" w:eastAsia="zh-CN"/>
        </w:rPr>
        <w:t>和</w:t>
      </w:r>
      <w:r>
        <w:rPr>
          <w:rFonts w:hint="default" w:ascii="仿宋_GB2312" w:hAnsi="仿宋_GB2312" w:eastAsia="仿宋_GB2312" w:cs="仿宋_GB2312"/>
          <w:bCs/>
          <w:snapToGrid w:val="0"/>
          <w:color w:val="000000"/>
          <w:spacing w:val="-2"/>
          <w:kern w:val="0"/>
          <w:sz w:val="32"/>
          <w:szCs w:val="32"/>
          <w:lang w:val="en-US" w:eastAsia="zh-CN"/>
        </w:rPr>
        <w:t>分管领导多次到项目现场调研指导工作</w:t>
      </w:r>
      <w:r>
        <w:rPr>
          <w:rFonts w:hint="eastAsia" w:ascii="仿宋_GB2312" w:hAnsi="仿宋_GB2312" w:eastAsia="仿宋_GB2312" w:cs="仿宋_GB2312"/>
          <w:bCs/>
          <w:snapToGrid w:val="0"/>
          <w:color w:val="000000"/>
          <w:spacing w:val="-2"/>
          <w:kern w:val="0"/>
          <w:sz w:val="32"/>
          <w:szCs w:val="32"/>
          <w:lang w:val="en-US" w:eastAsia="zh-CN"/>
        </w:rPr>
        <w:t>。</w:t>
      </w:r>
      <w:r>
        <w:rPr>
          <w:rFonts w:hint="default" w:ascii="仿宋_GB2312" w:hAnsi="仿宋_GB2312" w:eastAsia="仿宋_GB2312" w:cs="仿宋_GB2312"/>
          <w:bCs/>
          <w:snapToGrid w:val="0"/>
          <w:color w:val="000000"/>
          <w:spacing w:val="-2"/>
          <w:kern w:val="0"/>
          <w:sz w:val="32"/>
          <w:szCs w:val="32"/>
          <w:lang w:val="en-US" w:eastAsia="zh-CN"/>
        </w:rPr>
        <w:t>本溪市水务局成立技术服务组，每周到现场指导项目建设。</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32" w:firstLineChars="200"/>
        <w:textAlignment w:val="baseline"/>
        <w:rPr>
          <w:rFonts w:hint="default" w:ascii="仿宋_GB2312" w:hAnsi="仿宋_GB2312" w:eastAsia="仿宋_GB2312" w:cs="仿宋_GB2312"/>
          <w:bCs/>
          <w:snapToGrid w:val="0"/>
          <w:color w:val="000000"/>
          <w:spacing w:val="-2"/>
          <w:kern w:val="0"/>
          <w:sz w:val="32"/>
          <w:szCs w:val="32"/>
          <w:lang w:val="en-US" w:eastAsia="zh-CN"/>
        </w:rPr>
      </w:pPr>
      <w:r>
        <w:rPr>
          <w:rFonts w:hint="default" w:ascii="仿宋_GB2312" w:hAnsi="仿宋_GB2312" w:eastAsia="仿宋_GB2312" w:cs="仿宋_GB2312"/>
          <w:bCs/>
          <w:snapToGrid w:val="0"/>
          <w:color w:val="000000"/>
          <w:spacing w:val="-2"/>
          <w:kern w:val="0"/>
          <w:sz w:val="32"/>
          <w:szCs w:val="32"/>
          <w:lang w:val="en-US" w:eastAsia="zh-CN"/>
        </w:rPr>
        <w:t>南芬区委区政府成立了建设项目指挥部，负责指挥、协调、研究解决项目建设过程中的重大问题。</w:t>
      </w:r>
    </w:p>
    <w:p>
      <w:pPr>
        <w:pStyle w:val="2"/>
      </w:pPr>
      <w:r>
        <w:drawing>
          <wp:inline distT="0" distB="0" distL="114300" distR="114300">
            <wp:extent cx="5273040" cy="2979420"/>
            <wp:effectExtent l="0" t="0" r="10160" b="50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8"/>
                    <a:stretch>
                      <a:fillRect/>
                    </a:stretch>
                  </pic:blipFill>
                  <pic:spPr>
                    <a:xfrm>
                      <a:off x="0" y="0"/>
                      <a:ext cx="5273040" cy="2979420"/>
                    </a:xfrm>
                    <a:prstGeom prst="rect">
                      <a:avLst/>
                    </a:prstGeom>
                    <a:noFill/>
                    <a:ln>
                      <a:noFill/>
                    </a:ln>
                  </pic:spPr>
                </pic:pic>
              </a:graphicData>
            </a:graphic>
          </wp:inline>
        </w:drawing>
      </w:r>
    </w:p>
    <w:p>
      <w:pPr>
        <w:keepNext w:val="0"/>
        <w:keepLines w:val="0"/>
        <w:widowControl/>
        <w:suppressLineNumbers w:val="0"/>
        <w:jc w:val="center"/>
        <w:rPr>
          <w:rFonts w:hint="eastAsia" w:ascii="黑体" w:hAnsi="黑体" w:eastAsia="黑体" w:cs="黑体"/>
          <w:sz w:val="24"/>
          <w:szCs w:val="24"/>
        </w:rPr>
      </w:pPr>
      <w:r>
        <w:rPr>
          <w:rFonts w:hint="eastAsia" w:ascii="黑体" w:hAnsi="黑体" w:eastAsia="黑体" w:cs="黑体"/>
          <w:snapToGrid w:val="0"/>
          <w:color w:val="000000"/>
          <w:kern w:val="0"/>
          <w:sz w:val="24"/>
          <w:szCs w:val="24"/>
          <w:lang w:val="en-US" w:eastAsia="zh-CN" w:bidi="ar"/>
        </w:rPr>
        <w:t>图5-1 省委副书记、省长李乐成到水美乡村建设现场调研指导</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5" w:name="_Toc14393"/>
      <w:r>
        <w:rPr>
          <w:rFonts w:hint="eastAsia" w:ascii="楷体_GB2312" w:hAnsi="楷体_GB2312" w:eastAsia="楷体_GB2312" w:cs="楷体_GB2312"/>
          <w:b w:val="0"/>
          <w:bCs w:val="0"/>
          <w:snapToGrid w:val="0"/>
          <w:color w:val="000000"/>
          <w:spacing w:val="-2"/>
          <w:kern w:val="0"/>
          <w:sz w:val="32"/>
          <w:szCs w:val="32"/>
          <w:lang w:val="en-US" w:eastAsia="zh-CN"/>
        </w:rPr>
        <w:t>（二）多措并举筹资金，杠杆撬动作用大</w:t>
      </w:r>
      <w:bookmarkEnd w:id="15"/>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确保项目资金足额到位，项目建设多渠道筹集资金，其中，申请中央水利发展资金12000万元，整合各行业部门资金，申请地方一般债，撬动社会资本投入等，共落实项目建设资金44500多万元，超计划落实全部建设资金。</w:t>
      </w:r>
    </w:p>
    <w:p>
      <w:pPr>
        <w:pStyle w:val="2"/>
        <w:keepNext w:val="0"/>
        <w:keepLines w:val="0"/>
        <w:pageBreakBefore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水美乡村项目建设，为南芬文旅、民宿、农家乐、农事游、特色渔产业等的发展提供了动能，吸引了社会资本的投资目光，仅项目实施过程中就落地社会资本投资3个项目，总投资11000万元，具体为：（1）三台子村湿地公园节点水利投资440万元，带动社会资本投资2000万元建设500亩的草药园，是一个集三倍体苍术（450亩）、白鲜皮（50亩）种植培育及农事体验为一体的现代农业高标准经济示范基地园区；（2）冷水鱼特色小镇湿地公园节点水利投资800万元，通过水系治理和节点建设，成功吸引社会资本8000万元，建成集虹鳟鱼（国家地理标志产品）、鲟鱼等冷水鱼养殖、销售、餐饮以及民宿、游乐、演出等为一体城外鱼庄，已成为网红打卡地、精品民宿新地标；（3）房家堡子大桥湿地公园节点水利投资600万元，建设拦水堰、休闲广场、房车营地，吸引社会资本1000万元投资七彩灵芝庄园。</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16" w:name="_Toc2605"/>
      <w:r>
        <w:rPr>
          <w:rFonts w:hint="eastAsia" w:ascii="楷体_GB2312" w:hAnsi="楷体_GB2312" w:eastAsia="楷体_GB2312" w:cs="楷体_GB2312"/>
          <w:b w:val="0"/>
          <w:bCs w:val="0"/>
          <w:snapToGrid w:val="0"/>
          <w:color w:val="000000"/>
          <w:spacing w:val="-2"/>
          <w:kern w:val="0"/>
          <w:sz w:val="32"/>
          <w:szCs w:val="32"/>
          <w:lang w:val="en-US" w:eastAsia="zh-CN"/>
        </w:rPr>
        <w:t>（三）践行以人为本，共享政策红利</w:t>
      </w:r>
      <w:bookmarkEnd w:id="16"/>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一是补齐防洪短板，增强百姓安全感。</w:t>
      </w:r>
      <w:r>
        <w:rPr>
          <w:rFonts w:hint="eastAsia" w:ascii="仿宋_GB2312" w:hAnsi="仿宋_GB2312" w:eastAsia="仿宋_GB2312" w:cs="仿宋_GB2312"/>
          <w:sz w:val="32"/>
          <w:szCs w:val="32"/>
          <w:lang w:val="en-US" w:eastAsia="zh-CN"/>
        </w:rPr>
        <w:t>通过项目建设，解除了南芬区农村水系防洪标准偏低的安全隐患，促使农村水系普遍达到了10年一遇的防洪标准，提升了防洪安保能力，实现了百姓心安、人安、财产安。</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二是完善乡村服务，提升百姓幸福感。</w:t>
      </w:r>
      <w:r>
        <w:rPr>
          <w:rFonts w:hint="eastAsia" w:ascii="仿宋_GB2312" w:hAnsi="仿宋_GB2312" w:eastAsia="仿宋_GB2312" w:cs="仿宋_GB2312"/>
          <w:sz w:val="32"/>
          <w:szCs w:val="32"/>
          <w:lang w:val="en-US" w:eastAsia="zh-CN"/>
        </w:rPr>
        <w:t>通过采取阻水桥梁改建、鱼塘连通、清淤疏浚、湿地景观节点、文化广场、亲水平台、滨河漫步路等工程措施，不仅为百姓出行提供便利，而且增加了百姓锻炼休闲、文化娱乐的场地、空间，为百姓丰富的生活娱乐提供更多可能。更重要的是，项目建设形成了优美的水生态环境，促成了“山美、水美、人更美”的景观，加快推进美丽乡村建设。通过实践检验出，水美乡村项目是一个地方政府建设积极性高，受百姓欢迎的好项目。</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jc w:val="both"/>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三是吸引返乡就业，增加百姓获得感。</w:t>
      </w:r>
      <w:r>
        <w:rPr>
          <w:rFonts w:hint="eastAsia" w:ascii="仿宋_GB2312" w:hAnsi="仿宋_GB2312" w:eastAsia="仿宋_GB2312" w:cs="仿宋_GB2312"/>
          <w:sz w:val="32"/>
          <w:szCs w:val="32"/>
          <w:lang w:val="en-US" w:eastAsia="zh-CN"/>
        </w:rPr>
        <w:t>项目实施提升了南芬区农村河湖水系健康状态，改善了农村生活供水和农业生产用水条件。而良好的农村水系生态环境打通了生态和经济循环圈，有助于生产养殖、旅游休闲等综合效益的实现；项目实施提升了社会资本对南芬区旅游、休闲、民宿、农家乐等投资热度，拉动当地村民就业惠及人口达2000人以上，仅城外鱼庄一个项目带动当地村民就业300人。同时，项目实施过程中南芬区政府要求EPC承包人对技术含量较低的项目，通过技术培训积极吸纳当地村民就地务工。据统计，当地村民出劳务30000工日，有效解决了当地居民就业问题。</w:t>
      </w:r>
    </w:p>
    <w:p>
      <w:pPr>
        <w:pStyle w:val="2"/>
        <w:rPr>
          <w:rFonts w:hint="eastAsia"/>
          <w:lang w:val="en-US" w:eastAsia="zh-CN"/>
        </w:rPr>
      </w:pPr>
      <w:r>
        <w:rPr>
          <w:rFonts w:hint="eastAsia"/>
          <w:lang w:val="en-US" w:eastAsia="zh-CN"/>
        </w:rPr>
        <w:drawing>
          <wp:inline distT="0" distB="0" distL="114300" distR="114300">
            <wp:extent cx="2625090" cy="1969135"/>
            <wp:effectExtent l="0" t="0" r="3810" b="12065"/>
            <wp:docPr id="4" name="图片 4" descr="第21页-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第21页-19"/>
                    <pic:cNvPicPr>
                      <a:picLocks noChangeAspect="true"/>
                    </pic:cNvPicPr>
                  </pic:nvPicPr>
                  <pic:blipFill>
                    <a:blip r:embed="rId9"/>
                    <a:stretch>
                      <a:fillRect/>
                    </a:stretch>
                  </pic:blipFill>
                  <pic:spPr>
                    <a:xfrm>
                      <a:off x="0" y="0"/>
                      <a:ext cx="2625090" cy="1969135"/>
                    </a:xfrm>
                    <a:prstGeom prst="rect">
                      <a:avLst/>
                    </a:prstGeom>
                  </pic:spPr>
                </pic:pic>
              </a:graphicData>
            </a:graphic>
          </wp:inline>
        </w:drawing>
      </w:r>
      <w:r>
        <w:rPr>
          <w:rFonts w:hint="eastAsia"/>
          <w:lang w:val="en-US" w:eastAsia="zh-CN"/>
        </w:rPr>
        <w:drawing>
          <wp:inline distT="0" distB="0" distL="114300" distR="114300">
            <wp:extent cx="2590800" cy="1969770"/>
            <wp:effectExtent l="0" t="0" r="0" b="11430"/>
            <wp:docPr id="5" name="图片 5" descr="第22页-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第22页-20"/>
                    <pic:cNvPicPr>
                      <a:picLocks noChangeAspect="true"/>
                    </pic:cNvPicPr>
                  </pic:nvPicPr>
                  <pic:blipFill>
                    <a:blip r:embed="rId10"/>
                    <a:stretch>
                      <a:fillRect/>
                    </a:stretch>
                  </pic:blipFill>
                  <pic:spPr>
                    <a:xfrm>
                      <a:off x="0" y="0"/>
                      <a:ext cx="2590800" cy="1969770"/>
                    </a:xfrm>
                    <a:prstGeom prst="rect">
                      <a:avLst/>
                    </a:prstGeom>
                  </pic:spPr>
                </pic:pic>
              </a:graphicData>
            </a:graphic>
          </wp:inline>
        </w:drawing>
      </w:r>
    </w:p>
    <w:p>
      <w:pPr>
        <w:pStyle w:val="2"/>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图5-2 项目建设前后对比图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hint="eastAsia" w:ascii="黑体" w:hAnsi="黑体" w:eastAsia="黑体" w:cs="黑体"/>
          <w:b w:val="0"/>
          <w:bCs w:val="0"/>
          <w:spacing w:val="-2"/>
          <w:sz w:val="32"/>
          <w:szCs w:val="32"/>
          <w:lang w:val="en-US" w:eastAsia="zh-CN"/>
        </w:rPr>
      </w:pPr>
      <w:bookmarkStart w:id="17" w:name="_Toc20330"/>
      <w:r>
        <w:rPr>
          <w:rFonts w:hint="eastAsia" w:ascii="黑体" w:hAnsi="黑体" w:eastAsia="黑体" w:cs="黑体"/>
          <w:b w:val="0"/>
          <w:bCs w:val="0"/>
          <w:spacing w:val="-2"/>
          <w:sz w:val="32"/>
          <w:szCs w:val="32"/>
          <w:lang w:val="en-US" w:eastAsia="zh-CN"/>
        </w:rPr>
        <w:t>六、存在问题</w:t>
      </w:r>
      <w:bookmarkEnd w:id="17"/>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18" w:name="_Toc23258"/>
      <w:r>
        <w:rPr>
          <w:rFonts w:hint="eastAsia" w:ascii="楷体_GB2312" w:hAnsi="楷体_GB2312" w:eastAsia="楷体_GB2312" w:cs="楷体_GB2312"/>
          <w:b w:val="0"/>
          <w:bCs w:val="0"/>
          <w:snapToGrid w:val="0"/>
          <w:color w:val="000000"/>
          <w:spacing w:val="-2"/>
          <w:kern w:val="0"/>
          <w:sz w:val="32"/>
          <w:szCs w:val="32"/>
          <w:lang w:val="en-US" w:eastAsia="zh-CN"/>
        </w:rPr>
        <w:t>（一）项目预算绩效管理工作不到位，绩效管理意识有待提升</w:t>
      </w:r>
      <w:bookmarkEnd w:id="18"/>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中央国务院要求各级政府、部门和项目在申请预算时“花钱必问效，无效必问责”，预算绩效管理是申请预算的必要条件，是预算执行的约束条件，绩效结果的好与坏间接反映了预算执行和项目实施的好坏。本项目作为南芬区重点工程类项目，应在预算绩效管理环节做实、做细。但实际上，未开展对项目的事前绩效评估工作，未在项目初期合理设置绩效目标，未对项目的绩效管理进行有效监控，绩效管理意识有待加强。</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19" w:name="_Toc16836"/>
      <w:r>
        <w:rPr>
          <w:rFonts w:hint="eastAsia" w:ascii="楷体_GB2312" w:hAnsi="楷体_GB2312" w:eastAsia="楷体_GB2312" w:cs="楷体_GB2312"/>
          <w:b w:val="0"/>
          <w:bCs w:val="0"/>
          <w:snapToGrid w:val="0"/>
          <w:color w:val="000000"/>
          <w:spacing w:val="-2"/>
          <w:kern w:val="0"/>
          <w:sz w:val="32"/>
          <w:szCs w:val="32"/>
          <w:lang w:val="en-US" w:eastAsia="zh-CN"/>
        </w:rPr>
        <w:t>（二）部分资金拨付不及时，预算执行缓慢</w:t>
      </w:r>
      <w:bookmarkEnd w:id="19"/>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default" w:ascii="仿宋_GB2312" w:hAnsi="仿宋_GB2312" w:eastAsia="仿宋_GB2312" w:cs="仿宋_GB2312"/>
          <w:bCs w:val="0"/>
          <w:snapToGrid w:val="0"/>
          <w:color w:val="000000"/>
          <w:kern w:val="0"/>
          <w:sz w:val="32"/>
          <w:szCs w:val="32"/>
          <w:lang w:val="en-US" w:eastAsia="zh-CN"/>
        </w:rPr>
      </w:pPr>
      <w:r>
        <w:rPr>
          <w:rFonts w:hint="eastAsia" w:ascii="仿宋_GB2312" w:hAnsi="仿宋_GB2312" w:eastAsia="仿宋_GB2312" w:cs="仿宋_GB2312"/>
          <w:bCs w:val="0"/>
          <w:snapToGrid w:val="0"/>
          <w:color w:val="000000"/>
          <w:kern w:val="0"/>
          <w:sz w:val="32"/>
          <w:szCs w:val="32"/>
          <w:lang w:val="en-US" w:eastAsia="zh-CN"/>
        </w:rPr>
        <w:t>根据2023年1月10日印发的本溪市财政局关于《下达2023年省财政水利发展资金指标的通知》（本财指农〔2023〕1019号），辽宁省财政水利发展资金分配本溪市南芬区水系连通及水美乡村建设项目补助资金1,000万元。此次下达的资金由省财政直接拨付至县财政，并要求严格按照辽宁省水利发展资金管理办法的规定，加快资金拨付和预算执行，加强资金使用监管，确保专款专用。但截至2023年11月24日，本溪市南芬区财政局尚未将省级配套资金拨付至南芬区农业农村局，资金拨付不及时，省级配套资金无法及时、有效发挥效益。</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0" w:name="_Toc24899"/>
      <w:r>
        <w:rPr>
          <w:rFonts w:hint="eastAsia" w:ascii="楷体_GB2312" w:hAnsi="楷体_GB2312" w:eastAsia="楷体_GB2312" w:cs="楷体_GB2312"/>
          <w:b w:val="0"/>
          <w:bCs w:val="0"/>
          <w:snapToGrid w:val="0"/>
          <w:color w:val="000000"/>
          <w:spacing w:val="-2"/>
          <w:kern w:val="0"/>
          <w:sz w:val="32"/>
          <w:szCs w:val="32"/>
          <w:lang w:val="en-US" w:eastAsia="zh-CN"/>
        </w:rPr>
        <w:t>（三）财务管理不规范，精细化程度不足</w:t>
      </w:r>
      <w:bookmarkEnd w:id="20"/>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财务账目管理混乱。截至2023年10月，南芬区农业农村局收到中央财政水利发展资金12,000万元、一般债券6,500万元，南芬区农业农村局将上述款项分别列支在南芬区农业农村局及本溪市南芬区水利工程建设管理站进行管理，未设立辅助账或项目台账独立核算。截至2023年11月24日，省级配套资金1,000万元尚也未拨付到位。</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二是项目资金存在不合理支出。2021年12月至2023年10月，利用水美乡村建设项目资金购置办公设备2.41万元，上述支出不符合《水利发展资金管理办法》（财农〔2022〕81号）和《辽宁省水利发展和水库移民后期扶持补助资金管理暂行办法》（辽财农规〔2019〕8号）的“不得用于征地移民、城市景观、财政补助单位人员经费和运转经费、交通工具和办公设备购置等经常性支出以及楼堂馆所建设支出”的规定。未对项目资金进行专款专用，财务管理规范性有待加强。</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1" w:name="_Toc30268"/>
      <w:r>
        <w:rPr>
          <w:rFonts w:hint="eastAsia" w:ascii="楷体_GB2312" w:hAnsi="楷体_GB2312" w:eastAsia="楷体_GB2312" w:cs="楷体_GB2312"/>
          <w:b w:val="0"/>
          <w:bCs w:val="0"/>
          <w:snapToGrid w:val="0"/>
          <w:color w:val="000000"/>
          <w:spacing w:val="-2"/>
          <w:kern w:val="0"/>
          <w:sz w:val="32"/>
          <w:szCs w:val="32"/>
          <w:lang w:val="en-US" w:eastAsia="zh-CN"/>
        </w:rPr>
        <w:t>（四）佐证材料不充分，项目效益难凸显</w:t>
      </w:r>
      <w:bookmarkEnd w:id="21"/>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项目建设初期，为达成项目成效制定了一系列治理措施，提出了一系列治理标准，即“重要村屯段达到10年一遇防洪标准；河道水系贯通率达到100%；生活垃圾入河排放、堆放率为0；地表水达到或优于Ⅲ类比例达到100%；治理河道生态岸线率达到85%；河道“清四乱”清除率达到100%，等等”。通过项目实施，达到了一定效果，水系贯通率有所提高，生活垃圾入河排放、堆放情况减少，地表水质有所提升等，但无明确的佐证材料说明已达到预期标准，项目效益未有效突显。</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outlineLvl w:val="0"/>
        <w:rPr>
          <w:rFonts w:ascii="黑体" w:hAnsi="黑体" w:eastAsia="黑体" w:cs="黑体"/>
          <w:spacing w:val="-2"/>
          <w:sz w:val="32"/>
          <w:szCs w:val="32"/>
        </w:rPr>
      </w:pPr>
      <w:bookmarkStart w:id="22" w:name="_Toc19554"/>
      <w:r>
        <w:rPr>
          <w:rFonts w:hint="eastAsia" w:ascii="黑体" w:hAnsi="黑体" w:eastAsia="黑体" w:cs="黑体"/>
          <w:spacing w:val="-2"/>
          <w:sz w:val="32"/>
          <w:szCs w:val="32"/>
          <w:lang w:val="en-US" w:eastAsia="zh-CN"/>
        </w:rPr>
        <w:t>七</w:t>
      </w:r>
      <w:r>
        <w:rPr>
          <w:rFonts w:ascii="黑体" w:hAnsi="黑体" w:eastAsia="黑体" w:cs="黑体"/>
          <w:spacing w:val="-2"/>
          <w:sz w:val="32"/>
          <w:szCs w:val="32"/>
        </w:rPr>
        <w:t>、有关建议</w:t>
      </w:r>
      <w:bookmarkEnd w:id="22"/>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23" w:name="_Toc31854"/>
      <w:r>
        <w:rPr>
          <w:rFonts w:hint="eastAsia" w:ascii="楷体_GB2312" w:hAnsi="楷体_GB2312" w:eastAsia="楷体_GB2312" w:cs="楷体_GB2312"/>
          <w:b w:val="0"/>
          <w:bCs w:val="0"/>
          <w:snapToGrid w:val="0"/>
          <w:color w:val="000000"/>
          <w:spacing w:val="-2"/>
          <w:kern w:val="0"/>
          <w:sz w:val="32"/>
          <w:szCs w:val="32"/>
          <w:lang w:val="en-US" w:eastAsia="zh-CN"/>
        </w:rPr>
        <w:t>（一）加强预算绩效管理，不断提升管理意识</w:t>
      </w:r>
      <w:bookmarkEnd w:id="23"/>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snapToGrid w:val="0"/>
          <w:color w:val="000000"/>
          <w:kern w:val="0"/>
          <w:sz w:val="32"/>
          <w:szCs w:val="32"/>
          <w:lang w:val="en-US" w:eastAsia="zh-CN"/>
        </w:rPr>
      </w:pPr>
      <w:r>
        <w:rPr>
          <w:rFonts w:hint="eastAsia" w:ascii="仿宋_GB2312" w:hAnsi="仿宋_GB2312" w:eastAsia="仿宋_GB2312" w:cs="仿宋_GB2312"/>
          <w:snapToGrid w:val="0"/>
          <w:color w:val="000000"/>
          <w:kern w:val="0"/>
          <w:sz w:val="32"/>
          <w:szCs w:val="32"/>
          <w:lang w:val="en-US" w:eastAsia="zh-CN"/>
        </w:rPr>
        <w:t>绩效管理与预算管理相辅相成，因此在项目实施过程中开展绩效管理十分必要。建议项目管理站在以后的工程建设中做实绩效管理，规范、合理设置绩效目标和指标，并在事中和事后进行跟踪管理、评价评估，有效发挥绩效管理对预算管理的辅助作用。针对继续编制质量提升等问题，可加强与区财政局的沟通，通过学习和了解预算绩效管理相关制度要求，不断提高绩效目标编制质量，进而提升绩效管理意识。</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eastAsia" w:ascii="楷体_GB2312" w:hAnsi="楷体_GB2312" w:eastAsia="楷体_GB2312" w:cs="楷体_GB2312"/>
          <w:b w:val="0"/>
          <w:bCs w:val="0"/>
          <w:snapToGrid w:val="0"/>
          <w:color w:val="000000"/>
          <w:spacing w:val="-2"/>
          <w:kern w:val="0"/>
          <w:sz w:val="32"/>
          <w:szCs w:val="32"/>
          <w:lang w:val="en-US" w:eastAsia="zh-CN"/>
        </w:rPr>
      </w:pPr>
      <w:bookmarkStart w:id="24" w:name="_Toc16321"/>
      <w:r>
        <w:rPr>
          <w:rFonts w:hint="eastAsia" w:ascii="楷体_GB2312" w:hAnsi="楷体_GB2312" w:eastAsia="楷体_GB2312" w:cs="楷体_GB2312"/>
          <w:b w:val="0"/>
          <w:bCs w:val="0"/>
          <w:snapToGrid w:val="0"/>
          <w:color w:val="000000"/>
          <w:spacing w:val="-2"/>
          <w:kern w:val="0"/>
          <w:sz w:val="32"/>
          <w:szCs w:val="32"/>
          <w:lang w:val="en-US" w:eastAsia="zh-CN"/>
        </w:rPr>
        <w:t>（二）及时拨付财政资金，切实发挥资金效益</w:t>
      </w:r>
      <w:bookmarkEnd w:id="24"/>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snapToGrid w:val="0"/>
          <w:color w:val="000000"/>
          <w:kern w:val="0"/>
          <w:sz w:val="32"/>
          <w:szCs w:val="32"/>
          <w:lang w:val="en-US" w:eastAsia="zh-CN" w:bidi="ar-SA"/>
        </w:rPr>
      </w:pPr>
      <w:r>
        <w:rPr>
          <w:rFonts w:hint="eastAsia" w:ascii="仿宋_GB2312" w:hAnsi="仿宋_GB2312" w:eastAsia="仿宋_GB2312" w:cs="仿宋_GB2312"/>
          <w:snapToGrid w:val="0"/>
          <w:color w:val="000000"/>
          <w:kern w:val="0"/>
          <w:sz w:val="32"/>
          <w:szCs w:val="32"/>
          <w:lang w:val="en-US" w:eastAsia="zh-CN" w:bidi="ar-SA"/>
        </w:rPr>
        <w:t>建议各级财政部门及时拨付项目配套资金，确保项目资金及时、足额到位，有利于资金的有效支付，真正发挥资金使用效益，提高预算执行效率。此外，建议区农业农村局主动与财政部门沟通对接，督促项目资金及时到位，合理分配资金支出结构，优化资源配置。</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5" w:name="_Toc31380"/>
      <w:r>
        <w:rPr>
          <w:rFonts w:hint="eastAsia" w:ascii="楷体_GB2312" w:hAnsi="楷体_GB2312" w:eastAsia="楷体_GB2312" w:cs="楷体_GB2312"/>
          <w:b w:val="0"/>
          <w:bCs w:val="0"/>
          <w:snapToGrid w:val="0"/>
          <w:color w:val="000000"/>
          <w:spacing w:val="-2"/>
          <w:kern w:val="0"/>
          <w:sz w:val="32"/>
          <w:szCs w:val="32"/>
          <w:lang w:val="en-US" w:eastAsia="zh-CN"/>
        </w:rPr>
        <w:t>（三）加强财务管理，助力政策落实落地</w:t>
      </w:r>
      <w:bookmarkEnd w:id="25"/>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snapToGrid w:val="0"/>
          <w:color w:val="000000"/>
          <w:kern w:val="0"/>
          <w:sz w:val="32"/>
          <w:szCs w:val="32"/>
          <w:lang w:val="en-US" w:eastAsia="zh-CN" w:bidi="ar-SA"/>
        </w:rPr>
      </w:pPr>
      <w:r>
        <w:rPr>
          <w:rFonts w:hint="eastAsia" w:ascii="仿宋_GB2312" w:hAnsi="仿宋_GB2312" w:eastAsia="仿宋_GB2312" w:cs="仿宋_GB2312"/>
          <w:snapToGrid w:val="0"/>
          <w:color w:val="000000"/>
          <w:kern w:val="0"/>
          <w:sz w:val="32"/>
          <w:szCs w:val="32"/>
          <w:lang w:val="en-US" w:eastAsia="zh-CN" w:bidi="ar-SA"/>
        </w:rPr>
        <w:t>建议项目管理站加强项目财务管理，明确责任主体，严格按照批复的建设标准、内容进行支付，保证项目资金支付的合规性。设立专项账目专款专用，定期对项目支出账目进行核查，做好支出分类，确保各类资金支出方向有迹可循。对项目资金实行全过程跟踪管理，及时发现解决项目资金管理中存在的问题。同时，加强对财务制度的宣贯工作，督促财务人员按制度要求开展账目管理工作，确保制度有效落实落地，为项目建设提供坚实保障，切实发挥各类资金使用效益。</w:t>
      </w:r>
    </w:p>
    <w:p>
      <w:pPr>
        <w:pStyle w:val="2"/>
        <w:keepNext w:val="0"/>
        <w:keepLines w:val="0"/>
        <w:pageBreakBefore w:val="0"/>
        <w:widowControl w:val="0"/>
        <w:kinsoku w:val="0"/>
        <w:wordWrap/>
        <w:overflowPunct/>
        <w:topLinePunct w:val="0"/>
        <w:autoSpaceDE w:val="0"/>
        <w:autoSpaceDN w:val="0"/>
        <w:bidi w:val="0"/>
        <w:adjustRightInd w:val="0"/>
        <w:snapToGrid w:val="0"/>
        <w:spacing w:line="560" w:lineRule="exact"/>
        <w:ind w:firstLine="632" w:firstLineChars="200"/>
        <w:textAlignment w:val="baseline"/>
        <w:outlineLvl w:val="1"/>
        <w:rPr>
          <w:rFonts w:hint="default" w:ascii="楷体_GB2312" w:hAnsi="楷体_GB2312" w:eastAsia="楷体_GB2312" w:cs="楷体_GB2312"/>
          <w:b w:val="0"/>
          <w:bCs w:val="0"/>
          <w:snapToGrid w:val="0"/>
          <w:color w:val="000000"/>
          <w:spacing w:val="-2"/>
          <w:kern w:val="0"/>
          <w:sz w:val="32"/>
          <w:szCs w:val="32"/>
          <w:lang w:val="en-US" w:eastAsia="zh-CN"/>
        </w:rPr>
      </w:pPr>
      <w:bookmarkStart w:id="26" w:name="_Toc32291"/>
      <w:r>
        <w:rPr>
          <w:rFonts w:hint="eastAsia" w:ascii="楷体_GB2312" w:hAnsi="楷体_GB2312" w:eastAsia="楷体_GB2312" w:cs="楷体_GB2312"/>
          <w:b w:val="0"/>
          <w:bCs w:val="0"/>
          <w:snapToGrid w:val="0"/>
          <w:color w:val="000000"/>
          <w:spacing w:val="-2"/>
          <w:kern w:val="0"/>
          <w:sz w:val="32"/>
          <w:szCs w:val="32"/>
          <w:lang w:val="en-US" w:eastAsia="zh-CN"/>
        </w:rPr>
        <w:t>（四）强化过程管理，不断突显项目效益</w:t>
      </w:r>
      <w:bookmarkEnd w:id="26"/>
    </w:p>
    <w:p>
      <w:pPr>
        <w:pStyle w:val="10"/>
        <w:keepNext w:val="0"/>
        <w:keepLines w:val="0"/>
        <w:pageBreakBefore w:val="0"/>
        <w:widowControl/>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default" w:ascii="仿宋_GB2312" w:hAnsi="仿宋_GB2312" w:eastAsia="仿宋_GB2312" w:cs="仿宋_GB2312"/>
          <w:bCs w:val="0"/>
          <w:snapToGrid w:val="0"/>
          <w:color w:val="000000"/>
          <w:kern w:val="0"/>
          <w:sz w:val="32"/>
          <w:szCs w:val="32"/>
          <w:lang w:val="en-US" w:eastAsia="zh-CN" w:bidi="ar-SA"/>
        </w:rPr>
      </w:pPr>
      <w:r>
        <w:rPr>
          <w:rFonts w:hint="eastAsia" w:ascii="仿宋_GB2312" w:hAnsi="仿宋_GB2312" w:eastAsia="仿宋_GB2312" w:cs="仿宋_GB2312"/>
          <w:bCs w:val="0"/>
          <w:snapToGrid w:val="0"/>
          <w:color w:val="000000"/>
          <w:kern w:val="0"/>
          <w:sz w:val="32"/>
          <w:szCs w:val="32"/>
          <w:lang w:val="en-US" w:eastAsia="zh-CN" w:bidi="ar-SA"/>
        </w:rPr>
        <w:t>建议项目管理站在以后的工程项目建设中，加强对项目工作成效的举证、过程资料的留痕。同时，加强项目档案管理，及时归档完工项目相关材料，做到流程可追溯。规范项目资料管理，按相关制度要求整理项目档案，对无效资料进行有效剔除、不规范资料进行及时纠正，合理编制完整项目档案，为后续项目验收、终期评估、项目审计等提供佐证依据。</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rPr>
          <w:rFonts w:hint="eastAsia" w:ascii="黑体" w:hAnsi="黑体" w:eastAsia="黑体" w:cs="黑体"/>
          <w:spacing w:val="-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632" w:firstLineChars="200"/>
        <w:textAlignment w:val="baseline"/>
        <w:rPr>
          <w:rFonts w:hint="eastAsia" w:ascii="黑体" w:hAnsi="黑体" w:eastAsia="黑体" w:cs="黑体"/>
          <w:spacing w:val="-2"/>
          <w:sz w:val="32"/>
          <w:szCs w:val="32"/>
          <w:lang w:val="en-US" w:eastAsia="zh-CN"/>
        </w:rPr>
      </w:pPr>
      <w:r>
        <w:rPr>
          <w:rFonts w:hint="eastAsia" w:ascii="黑体" w:hAnsi="黑体" w:eastAsia="黑体" w:cs="黑体"/>
          <w:spacing w:val="-2"/>
          <w:sz w:val="32"/>
          <w:szCs w:val="32"/>
          <w:lang w:val="en-US" w:eastAsia="zh-CN"/>
        </w:rPr>
        <w:t>附件：</w:t>
      </w:r>
    </w:p>
    <w:p>
      <w:pPr>
        <w:pStyle w:val="10"/>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560" w:lineRule="exact"/>
        <w:ind w:firstLine="640" w:firstLineChars="200"/>
        <w:jc w:val="both"/>
        <w:textAlignment w:val="baseline"/>
        <w:rPr>
          <w:rFonts w:hint="eastAsia" w:ascii="仿宋_GB2312" w:hAnsi="仿宋_GB2312" w:eastAsia="仿宋_GB2312" w:cs="仿宋_GB2312"/>
          <w:bCs w:val="0"/>
          <w:snapToGrid w:val="0"/>
          <w:color w:val="000000"/>
          <w:kern w:val="0"/>
          <w:sz w:val="32"/>
          <w:szCs w:val="32"/>
          <w:lang w:val="en-US" w:eastAsia="zh-CN" w:bidi="ar-SA"/>
        </w:rPr>
      </w:pPr>
      <w:r>
        <w:rPr>
          <w:rFonts w:hint="eastAsia" w:ascii="仿宋_GB2312" w:hAnsi="仿宋_GB2312" w:eastAsia="仿宋_GB2312" w:cs="仿宋_GB2312"/>
          <w:bCs w:val="0"/>
          <w:snapToGrid w:val="0"/>
          <w:color w:val="000000"/>
          <w:kern w:val="0"/>
          <w:sz w:val="32"/>
          <w:szCs w:val="32"/>
          <w:lang w:val="en-US" w:eastAsia="zh-CN" w:bidi="ar-SA"/>
        </w:rPr>
        <w:t>1.南芬区水美乡村生态建设项目绩效评价得分表</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bCs w:val="0"/>
          <w:snapToGrid w:val="0"/>
          <w:color w:val="000000"/>
          <w:kern w:val="0"/>
          <w:sz w:val="32"/>
          <w:szCs w:val="32"/>
          <w:lang w:val="en-US" w:eastAsia="zh-CN" w:bidi="ar-SA"/>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仿宋_GB2312" w:eastAsia="仿宋_GB2312" w:cs="仿宋_GB2312"/>
          <w:bCs w:val="0"/>
          <w:snapToGrid w:val="0"/>
          <w:color w:val="000000"/>
          <w:kern w:val="0"/>
          <w:sz w:val="32"/>
          <w:szCs w:val="32"/>
          <w:lang w:val="en-US" w:eastAsia="zh-CN" w:bidi="ar-SA"/>
        </w:rPr>
        <w:t>2.</w:t>
      </w:r>
      <w:r>
        <w:rPr>
          <w:rFonts w:hint="default" w:ascii="仿宋_GB2312" w:hAnsi="仿宋_GB2312" w:eastAsia="仿宋_GB2312" w:cs="仿宋_GB2312"/>
          <w:bCs w:val="0"/>
          <w:snapToGrid w:val="0"/>
          <w:color w:val="000000"/>
          <w:kern w:val="0"/>
          <w:sz w:val="32"/>
          <w:szCs w:val="32"/>
          <w:lang w:val="en-US" w:eastAsia="zh-CN" w:bidi="ar-SA"/>
        </w:rPr>
        <w:t>南芬区水美乡村</w:t>
      </w:r>
      <w:r>
        <w:rPr>
          <w:rFonts w:hint="eastAsia" w:ascii="仿宋_GB2312" w:hAnsi="仿宋_GB2312" w:eastAsia="仿宋_GB2312" w:cs="仿宋_GB2312"/>
          <w:bCs w:val="0"/>
          <w:snapToGrid w:val="0"/>
          <w:color w:val="000000"/>
          <w:kern w:val="0"/>
          <w:sz w:val="32"/>
          <w:szCs w:val="32"/>
          <w:lang w:val="en-US" w:eastAsia="zh-CN" w:bidi="ar-SA"/>
        </w:rPr>
        <w:t>生态建设</w:t>
      </w:r>
      <w:r>
        <w:rPr>
          <w:rFonts w:hint="default" w:ascii="仿宋_GB2312" w:hAnsi="仿宋_GB2312" w:eastAsia="仿宋_GB2312" w:cs="仿宋_GB2312"/>
          <w:bCs w:val="0"/>
          <w:snapToGrid w:val="0"/>
          <w:color w:val="000000"/>
          <w:kern w:val="0"/>
          <w:sz w:val="32"/>
          <w:szCs w:val="32"/>
          <w:lang w:val="en-US" w:eastAsia="zh-CN" w:bidi="ar-SA"/>
        </w:rPr>
        <w:t>项目满意度调查结果分析报告</w:t>
      </w:r>
    </w:p>
    <w:p>
      <w:pPr>
        <w:pStyle w:val="10"/>
        <w:jc w:val="both"/>
        <w:rPr>
          <w:rFonts w:hint="eastAsia" w:ascii="黑体" w:hAnsi="黑体" w:eastAsia="黑体" w:cs="黑体"/>
          <w:sz w:val="32"/>
          <w:szCs w:val="48"/>
          <w:lang w:val="en-US" w:eastAsia="zh-CN"/>
        </w:rPr>
      </w:pPr>
      <w:r>
        <w:rPr>
          <w:rFonts w:hint="eastAsia" w:ascii="黑体" w:hAnsi="黑体" w:eastAsia="黑体" w:cs="黑体"/>
          <w:sz w:val="32"/>
          <w:szCs w:val="48"/>
          <w:lang w:val="en-US" w:eastAsia="zh-CN"/>
        </w:rPr>
        <w:t>附件1</w:t>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南芬区水美乡村生态建设项目绩效评价得分表</w:t>
      </w:r>
    </w:p>
    <w:tbl>
      <w:tblPr>
        <w:tblStyle w:val="11"/>
        <w:tblW w:w="14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6"/>
        <w:gridCol w:w="1076"/>
        <w:gridCol w:w="1040"/>
        <w:gridCol w:w="660"/>
        <w:gridCol w:w="2268"/>
        <w:gridCol w:w="3736"/>
        <w:gridCol w:w="2124"/>
        <w:gridCol w:w="650"/>
        <w:gridCol w:w="1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blHeader/>
          <w:jc w:val="center"/>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一级指标</w:t>
            </w:r>
          </w:p>
        </w:tc>
        <w:tc>
          <w:tcPr>
            <w:tcW w:w="107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二级指标</w:t>
            </w: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三级指标</w:t>
            </w:r>
          </w:p>
        </w:tc>
        <w:tc>
          <w:tcPr>
            <w:tcW w:w="6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分值</w:t>
            </w:r>
          </w:p>
        </w:tc>
        <w:tc>
          <w:tcPr>
            <w:tcW w:w="22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指标解释</w:t>
            </w:r>
          </w:p>
        </w:tc>
        <w:tc>
          <w:tcPr>
            <w:tcW w:w="37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指标说明</w:t>
            </w:r>
          </w:p>
        </w:tc>
        <w:tc>
          <w:tcPr>
            <w:tcW w:w="212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评分标准</w:t>
            </w:r>
          </w:p>
        </w:tc>
        <w:tc>
          <w:tcPr>
            <w:tcW w:w="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得分</w:t>
            </w: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扣分原因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0" w:hRule="atLeast"/>
          <w:jc w:val="center"/>
        </w:trPr>
        <w:tc>
          <w:tcPr>
            <w:tcW w:w="816" w:type="dxa"/>
            <w:vMerge w:val="restart"/>
            <w:tcBorders>
              <w:top w:val="single" w:color="000000" w:sz="4" w:space="0"/>
              <w:left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（16）</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充分性</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项目立项是否符合法律法规、相关政策、发展规划以及部门职责，项目提供的产品和服务是否针对当前国家、行业和所在区域经济发展的实际问题和需求，用以反映和考核项目立项依据情况。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1.项目立项是否符合国家法律法规、国民经济发展规划和相关政策；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2.项目立项是否与部门职责范围相符，属于部门履职所需；</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3.项目是否符合一般债券支持领域和方向；</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4.项目提供的产品和服务针对所在区域经济发展的实际问题和需求；</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5.偿还机制是否健全；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6.风险处置机制是否健全。</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存在一项不符扣0.5分，扣完为止。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74" w:hRule="atLeast"/>
          <w:jc w:val="center"/>
        </w:trPr>
        <w:tc>
          <w:tcPr>
            <w:tcW w:w="816" w:type="dxa"/>
            <w:vMerge w:val="continue"/>
            <w:tcBorders>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程序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规范性</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项目申请过程中相关文件及程序是否符合相关要求，用以反映和考核项目筛选和申报流程的规范情况。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1.项目是否按要求完成可研及立项批复（包括项目建议书、可研、资金申请报告）；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2.项目是否按要求取得勘察、设计、用地、环评、开工许可等行业主管部门审批文件；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3.新增项目是否按照要求进行事前绩效评估。</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符合一项要点得1分。</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项目未开展事前绩效评估工作。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74"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决策</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（16）</w:t>
            </w:r>
          </w:p>
        </w:tc>
        <w:tc>
          <w:tcPr>
            <w:tcW w:w="107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绩效目标合理性</w:t>
            </w:r>
          </w:p>
        </w:tc>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项目所设定的绩效目标是否依据充分，是否符合客观实际，用以反映和考核项目绩效目标与项目实施的相符情况。</w:t>
            </w:r>
          </w:p>
        </w:tc>
        <w:tc>
          <w:tcPr>
            <w:tcW w:w="37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评价目标是否符合客观实际。</w:t>
            </w:r>
          </w:p>
        </w:tc>
        <w:tc>
          <w:tcPr>
            <w:tcW w:w="212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绩效目标符合实际，能够反映项目的主要内容，与投入相匹配，得3分；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绩效目标符合实际，反映的内容一般，与投入匹配度一般，得1分；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绩效目标与项目实施内容不符不得分。</w:t>
            </w:r>
          </w:p>
        </w:tc>
        <w:tc>
          <w:tcPr>
            <w:tcW w:w="6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80" w:hRule="atLeast"/>
          <w:jc w:val="center"/>
        </w:trPr>
        <w:tc>
          <w:tcPr>
            <w:tcW w:w="8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绩效指标明确性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依据绩效目标设定的绩效指标是否清晰、细化、可衡量等，用以反映和考核项目绩效目标的明细化情况。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1.绩效指标值是否清晰、可衡量；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2.绩效指标与项目目标任务数或计划数是否相对应。</w:t>
            </w:r>
          </w:p>
        </w:tc>
        <w:tc>
          <w:tcPr>
            <w:tcW w:w="212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符合一项要点得1.5分。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30" w:hRule="atLeast"/>
          <w:jc w:val="center"/>
        </w:trPr>
        <w:tc>
          <w:tcPr>
            <w:tcW w:w="8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资金投入合理性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项目申请资金额度与实际需要匹配情况，用以反映和考核项目预算资金分配的科学性、合理性情况。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项目申请资金额度与实际需要是否匹配。</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额度与实际需要匹配得满分，否则不得分。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00"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（24）</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资金管理（17）</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债券资金到位率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一般债券资金下达后，资金是否足额、及时达到项目实施单位，用以反映和考核一般债券资金落实情况。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资金到位率=实际到位资金/计划到位资金×100%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得分=资金到位率×指标分值</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40" w:hRule="atLeast"/>
          <w:jc w:val="center"/>
        </w:trPr>
        <w:tc>
          <w:tcPr>
            <w:tcW w:w="816"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项目预算执行率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项目预算资金是否按照计划执行，用以反映或考核项目预算执行情况。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预算执行率=实际支出资金/实际到位资金×100%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执行率≥95%，得满分；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执行率≥90%，得8分；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90%＞执行率≥80%，得6分；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80%＞执行率≥60%，得4分；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执行率低于60%不得分。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预算执行率为90.28%。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60" w:hRule="atLeast"/>
          <w:jc w:val="center"/>
        </w:trPr>
        <w:tc>
          <w:tcPr>
            <w:tcW w:w="81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资金使用合规性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项目资金使用是否符合国家及省市的有关一般债券资金使用的管理规定，符合相关的财务管理制度规定，用以反映和考核一般债券资金使用的规范性。</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1.一般债券收支、还本付息是否纳入一般预算管理；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2.一般债券期限与项目期限是否匹配；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3.债券资金是否按规定用途使用；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4.资金拨付和支出进度与项目建设进度是否匹配；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5.是否存在截留、挤占、挪用、虚列支出等情况；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6.一般债券项目信息是否及时、完整地进行公开；</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7.一般债券本息偿还是否按计划执行。</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存在一项不符扣1分，扣完为止。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项目部分资金用于办公设备采购和支付劳务派遣费用，不符合上级政策文件要求。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10" w:hRule="atLeast"/>
          <w:jc w:val="center"/>
        </w:trPr>
        <w:tc>
          <w:tcPr>
            <w:tcW w:w="816"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过程</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（24）</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组织实施（7）</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管理制度健全性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项目实施的财务和业务管理制度是否健全，用以反映和考核财务和业务管理制度对项目顺利实施的保障情况。</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1.项目是否出台专门的财务或业务管理制度；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2.项目实施的财务和业务管理制度内容是否完善、权责分工是否清晰。</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符合要点1得2分，符合要点2得1分。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70" w:hRule="atLeast"/>
          <w:jc w:val="center"/>
        </w:trPr>
        <w:tc>
          <w:tcPr>
            <w:tcW w:w="816"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制度执行有效性</w:t>
            </w:r>
          </w:p>
        </w:tc>
        <w:tc>
          <w:tcPr>
            <w:tcW w:w="6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项目实施是否符合相关管理规定，用以反映和考核相关管理制度的有效执行情况。</w:t>
            </w:r>
          </w:p>
        </w:tc>
        <w:tc>
          <w:tcPr>
            <w:tcW w:w="373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1.项目组织实施机制是否健全、责任分工是否明确；</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2.是否履行采购程序，采购程序是否规范；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3.项目合同管理是否规范、合同要素是否完整；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4.项目管理与过程监督制度是否落实到位；</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5.项目建设程序是否规范，是否缺少相应建设审批程序；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6.项目竣工验收程序是否规范，是否开展四方验收，验收文件是否完整规范；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7.工程档案管理编制是否完整；</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8.外部发现问题整改情况。</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存在一项不符扣1分，扣完为止。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57"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产出数量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（13）</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水利项目</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评价水利项目的完工情况。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18"/>
                <w:szCs w:val="18"/>
                <w:u w:val="none"/>
                <w:lang w:val="en-US" w:eastAsia="zh-CN" w:bidi="ar"/>
              </w:rPr>
              <w:t>评价要点：</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1.全域河道管护项目完工情况；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2.南芬区流域水质达标一期工程完工情况；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3.冷水鱼种质资源工程完工情况；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4.三台子水土保持示范区项目完工情况；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5.水保林修复项目完工情况；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6.三道河源头区水源涵养综合治理工程完工情况；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7.杨木沟水系连通综合整治工程完工情况；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8.小流域综合治理项目完工情况；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9.水毁修复工程项目完工情况；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10.三道河（桦树甸子-南台子段）治理工程完工情况；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11.南芬区城区防洪沟综合整治项目完工情况；</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12.长山河八道沟河口防洪应急项目完工情况。</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存在一项工程未完工扣2分，扣完为止。</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8</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71" w:hRule="atLeast"/>
          <w:jc w:val="center"/>
        </w:trPr>
        <w:tc>
          <w:tcPr>
            <w:tcW w:w="816"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防污控污、景观人文项目</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评价防污控污、景观人文项目的完工情况。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1.化肥减量（有机肥推广）项目完工情况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2.杨木沟城外鱼庄少数民族旅游特色发展项目完工情况；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3.林场景区旅游基础设施项目完工情况；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4.本溪鸿顺旅游有限公司溪泉鱼庄项目完工情况；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5.流域环境综合整治项目完工情况；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6.本宽线甬子峪河口避让工程项目完工情况；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7.村组滨河路网工程项目完工情况；</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8.三道河乡村振兴项目（虹鳟鱼展销中心）完工情况。</w:t>
            </w:r>
          </w:p>
        </w:tc>
        <w:tc>
          <w:tcPr>
            <w:tcW w:w="2124" w:type="dxa"/>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存在一项工程未完工扣1分，扣完为止。</w:t>
            </w:r>
          </w:p>
        </w:tc>
        <w:tc>
          <w:tcPr>
            <w:tcW w:w="6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360"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产出质量</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（17）</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工程验收通过率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评价各类工程竣工验收通过比例，用以反映项目工程的质量是否符合相关标准。</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项目实施范围内的各类工程竣工验收通过情况。</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存在一项工程未通过竣工验收扣2分，扣完为止。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58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工程质量优良率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评价各类工程质量的优良比例。</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项目总体工程质量优良率是否高于预期的80%。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高于80%得满分；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低于80%的按比例计算得分，得分=实际优良率/80%×100%；</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低于60%不得分。</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436"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地表水质达标率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Style w:val="14"/>
                <w:snapToGrid w:val="0"/>
                <w:color w:val="000000"/>
                <w:lang w:val="en-US" w:eastAsia="zh-CN" w:bidi="ar"/>
              </w:rPr>
              <w:t>评价地表水质达到或优于</w:t>
            </w:r>
            <w:r>
              <w:rPr>
                <w:rStyle w:val="15"/>
                <w:snapToGrid w:val="0"/>
                <w:color w:val="000000"/>
                <w:lang w:val="en-US" w:eastAsia="zh-CN" w:bidi="ar"/>
              </w:rPr>
              <w:t>Ⅲ</w:t>
            </w:r>
            <w:r>
              <w:rPr>
                <w:rStyle w:val="14"/>
                <w:snapToGrid w:val="0"/>
                <w:color w:val="000000"/>
                <w:lang w:val="en-US" w:eastAsia="zh-CN" w:bidi="ar"/>
              </w:rPr>
              <w:t>类水标准的占比情况。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地表水质达标率为100%。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100%得满分，存在未达标情况扣2分，扣完为止。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0</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由于缺少对河道水质达标情况的有效证明，无法确认达标率为100%。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80" w:hRule="atLeast"/>
          <w:jc w:val="center"/>
        </w:trPr>
        <w:tc>
          <w:tcPr>
            <w:tcW w:w="816"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河道“四乱”清除率</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评价辖区河道“四乱”清除程度。</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河道“四乱”清除率为100%。</w:t>
            </w:r>
          </w:p>
        </w:tc>
        <w:tc>
          <w:tcPr>
            <w:tcW w:w="21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达到100%得满分，发现一处“四乱”未清情况扣2分，扣完为止。</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40" w:hRule="atLeast"/>
          <w:jc w:val="center"/>
        </w:trPr>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经济效益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区域居民收入增长</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评价项目所在地居民收入的增长情况。</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1.人均收入较项目实施前有增长（2023与2021年比较）；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2.地区总收入较项目实施前有增长（2023与2021年比较）；</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3.项目实施为居民带来的直接受益是否达到一定水平。</w:t>
            </w:r>
          </w:p>
        </w:tc>
        <w:tc>
          <w:tcPr>
            <w:tcW w:w="2124" w:type="dxa"/>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符合其中一项即得满分；否则不得分。</w:t>
            </w:r>
          </w:p>
        </w:tc>
        <w:tc>
          <w:tcPr>
            <w:tcW w:w="6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70" w:hRule="atLeast"/>
          <w:jc w:val="center"/>
        </w:trPr>
        <w:tc>
          <w:tcPr>
            <w:tcW w:w="816"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（30）</w:t>
            </w:r>
          </w:p>
        </w:tc>
        <w:tc>
          <w:tcPr>
            <w:tcW w:w="10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社会效益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（10）</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受益人口数</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评价项目的受益人数是否达成目标。</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项目受益人数达到2.38万人。</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达成目标得满分，否则按比例计算得分。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1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化肥农药使用量减少</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评价项目实施是否促进有机肥使用，从而降低化肥农药的使用量。</w:t>
            </w:r>
          </w:p>
        </w:tc>
        <w:tc>
          <w:tcPr>
            <w:tcW w:w="37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项目实施前后化肥农药使用量的变化情况。</w:t>
            </w:r>
          </w:p>
        </w:tc>
        <w:tc>
          <w:tcPr>
            <w:tcW w:w="2124"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效果明显得满分；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有所减少得4分；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基本持平得3分；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其他情况不得分。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4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生态效益</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（10）</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农村水系功能及生态环境改善</w:t>
            </w:r>
          </w:p>
        </w:tc>
        <w:tc>
          <w:tcPr>
            <w:tcW w:w="66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评价项目实施后水系功能和生态环境是否有明显改善。</w:t>
            </w:r>
          </w:p>
        </w:tc>
        <w:tc>
          <w:tcPr>
            <w:tcW w:w="3736"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1.治理后农村水系功能和生态环境改善明显，且较好保留了农村水系的天然之美；</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2.农村水系功能和生态环境改善较明显，基本保留了农村水系的天然之美；</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3.农村水系功能和生态环境改善不明显，治理人工化痕迹较重。</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满足要点1得满分；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满足要点2得3分；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满足要点3不得分。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00" w:hRule="atLeast"/>
          <w:jc w:val="center"/>
        </w:trPr>
        <w:tc>
          <w:tcPr>
            <w:tcW w:w="816"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防洪排涝能力提升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评价项目实施后区域防洪排涝能力的提升程度。</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评价要点：</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1.防洪排涝能力显著提升；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2.防洪排涝能力有所提升；</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3.防洪排涝能力无明显差别或降低。</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满足要点1得满分；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满足要点2得3分；</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满足要点3不得分。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50" w:hRule="atLeast"/>
          <w:jc w:val="center"/>
        </w:trPr>
        <w:tc>
          <w:tcPr>
            <w:tcW w:w="816" w:type="dxa"/>
            <w:vMerge w:val="continue"/>
            <w:tcBorders>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（5）</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区域居民满意度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评价项目所在地居民对该项目实施的满意程度。</w:t>
            </w:r>
          </w:p>
        </w:tc>
        <w:tc>
          <w:tcPr>
            <w:tcW w:w="3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项目所在地居民对本项目总体的满意程度达到90%以上。</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满意度≥90%，得满分；80%≤满意度＜90%，得4分；70%≤满意度＜80%，得3分；60%≤满意度＜70%，得2分；低于60%不得分。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2" w:hRule="atLeast"/>
          <w:jc w:val="center"/>
        </w:trPr>
        <w:tc>
          <w:tcPr>
            <w:tcW w:w="117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综合得分</w:t>
            </w:r>
          </w:p>
        </w:tc>
        <w:tc>
          <w:tcPr>
            <w:tcW w:w="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snapToGrid w:val="0"/>
                <w:color w:val="000000"/>
                <w:kern w:val="0"/>
                <w:sz w:val="22"/>
                <w:szCs w:val="22"/>
                <w:u w:val="none"/>
                <w:lang w:val="en-US" w:eastAsia="zh-CN" w:bidi="ar"/>
              </w:rPr>
              <w:t>92</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b/>
                <w:bCs/>
                <w:i w:val="0"/>
                <w:iCs w:val="0"/>
                <w:color w:val="000000"/>
                <w:sz w:val="22"/>
                <w:szCs w:val="22"/>
                <w:u w:val="none"/>
              </w:rPr>
            </w:pPr>
          </w:p>
        </w:tc>
      </w:tr>
    </w:tbl>
    <w:p>
      <w:pPr>
        <w:pStyle w:val="2"/>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p>
    <w:p>
      <w:pPr>
        <w:pStyle w:val="10"/>
        <w:jc w:val="both"/>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p>
    <w:p>
      <w:pPr>
        <w:jc w:val="center"/>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南芬区水美乡村生态建设项目满意度调查</w:t>
      </w:r>
    </w:p>
    <w:p>
      <w:pPr>
        <w:jc w:val="center"/>
        <w:rPr>
          <w:rFonts w:hint="eastAsia" w:ascii="宋体" w:hAnsi="宋体" w:eastAsia="宋体" w:cs="宋体"/>
          <w:b/>
          <w:bCs w:val="0"/>
          <w:sz w:val="36"/>
          <w:szCs w:val="36"/>
          <w:lang w:val="en-US" w:eastAsia="zh-CN"/>
        </w:rPr>
      </w:pPr>
      <w:r>
        <w:rPr>
          <w:rFonts w:hint="eastAsia" w:ascii="宋体" w:hAnsi="宋体" w:eastAsia="宋体" w:cs="宋体"/>
          <w:b/>
          <w:bCs w:val="0"/>
          <w:sz w:val="36"/>
          <w:szCs w:val="36"/>
          <w:lang w:val="en-US" w:eastAsia="zh-CN"/>
        </w:rPr>
        <w:t>结果分析报告</w:t>
      </w:r>
    </w:p>
    <w:p>
      <w:pPr>
        <w:rPr>
          <w:b w:val="0"/>
          <w:color w:val="000000"/>
          <w:sz w:val="32"/>
          <w:szCs w:val="24"/>
        </w:rPr>
      </w:pPr>
    </w:p>
    <w:p>
      <w:pPr>
        <w:rPr>
          <w:b w:val="0"/>
          <w:color w:val="0066FF"/>
          <w:sz w:val="24"/>
        </w:rPr>
      </w:pPr>
      <w:r>
        <w:rPr>
          <w:b w:val="0"/>
          <w:color w:val="000000"/>
          <w:sz w:val="24"/>
        </w:rPr>
        <w:t>1</w:t>
      </w:r>
      <w:r>
        <w:rPr>
          <w:rFonts w:hint="eastAsia" w:eastAsia="宋体"/>
          <w:b w:val="0"/>
          <w:color w:val="000000"/>
          <w:sz w:val="24"/>
          <w:lang w:eastAsia="zh-CN"/>
        </w:rPr>
        <w:t>.</w:t>
      </w:r>
      <w:r>
        <w:rPr>
          <w:b w:val="0"/>
          <w:color w:val="000000"/>
          <w:sz w:val="24"/>
        </w:rPr>
        <w:t>您的居住地：________街道</w:t>
      </w:r>
      <w:r>
        <w:rPr>
          <w:rFonts w:hint="eastAsia" w:eastAsia="宋体"/>
          <w:b w:val="0"/>
          <w:color w:val="000000"/>
          <w:sz w:val="24"/>
          <w:lang w:eastAsia="zh-CN"/>
        </w:rPr>
        <w:t>（</w:t>
      </w:r>
      <w:r>
        <w:rPr>
          <w:b w:val="0"/>
          <w:color w:val="000000"/>
          <w:sz w:val="24"/>
        </w:rPr>
        <w:t>乡/镇</w:t>
      </w:r>
      <w:r>
        <w:rPr>
          <w:rFonts w:hint="eastAsia" w:eastAsia="宋体"/>
          <w:b w:val="0"/>
          <w:color w:val="000000"/>
          <w:sz w:val="24"/>
          <w:lang w:eastAsia="zh-CN"/>
        </w:rPr>
        <w:t>）</w:t>
      </w:r>
      <w:r>
        <w:rPr>
          <w:b w:val="0"/>
          <w:color w:val="000000"/>
          <w:sz w:val="24"/>
        </w:rPr>
        <w:t>_______小区</w:t>
      </w:r>
      <w:r>
        <w:rPr>
          <w:rFonts w:hint="eastAsia" w:eastAsia="宋体"/>
          <w:b w:val="0"/>
          <w:color w:val="000000"/>
          <w:sz w:val="24"/>
          <w:lang w:eastAsia="zh-CN"/>
        </w:rPr>
        <w:t>（</w:t>
      </w:r>
      <w:r>
        <w:rPr>
          <w:b w:val="0"/>
          <w:color w:val="000000"/>
          <w:sz w:val="24"/>
        </w:rPr>
        <w:t>村</w:t>
      </w:r>
      <w:r>
        <w:rPr>
          <w:rFonts w:hint="eastAsia" w:eastAsia="宋体"/>
          <w:b w:val="0"/>
          <w:color w:val="000000"/>
          <w:sz w:val="24"/>
          <w:lang w:eastAsia="zh-CN"/>
        </w:rPr>
        <w:t>）</w:t>
      </w:r>
      <w:r>
        <w:rPr>
          <w:b w:val="0"/>
          <w:color w:val="000000"/>
          <w:sz w:val="24"/>
        </w:rPr>
        <w:t xml:space="preserve">   </w:t>
      </w:r>
      <w:r>
        <w:rPr>
          <w:b w:val="0"/>
          <w:color w:val="0066FF"/>
          <w:sz w:val="24"/>
        </w:rPr>
        <w:t>[填空题]</w:t>
      </w:r>
    </w:p>
    <w:p>
      <w:pPr>
        <w:keepLines w:val="0"/>
        <w:jc w:val="left"/>
        <w:rPr>
          <w:b w:val="0"/>
          <w:color w:val="666666"/>
          <w:sz w:val="24"/>
        </w:rPr>
      </w:pPr>
      <w:r>
        <w:rPr>
          <w:b w:val="0"/>
          <w:color w:val="666666"/>
          <w:sz w:val="24"/>
        </w:rPr>
        <w:t>填空题数据请通过下载详细数据获取</w:t>
      </w:r>
    </w:p>
    <w:p/>
    <w:p>
      <w:pPr>
        <w:rPr>
          <w:b w:val="0"/>
          <w:color w:val="0066FF"/>
          <w:sz w:val="24"/>
        </w:rPr>
      </w:pPr>
      <w:r>
        <w:rPr>
          <w:b w:val="0"/>
          <w:color w:val="000000"/>
          <w:sz w:val="24"/>
        </w:rPr>
        <w:t xml:space="preserve">2.您的性别：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A.男</w:t>
            </w:r>
          </w:p>
        </w:tc>
        <w:tc>
          <w:tcPr>
            <w:tcW w:w="1000" w:type="dxa"/>
            <w:shd w:val="clear" w:color="auto" w:fill="FFFFFF"/>
            <w:vAlign w:val="center"/>
          </w:tcPr>
          <w:p>
            <w:pPr>
              <w:jc w:val="center"/>
            </w:pPr>
            <w:r>
              <w:t>51</w:t>
            </w:r>
          </w:p>
        </w:tc>
        <w:tc>
          <w:tcPr>
            <w:tcW w:w="3106" w:type="dxa"/>
            <w:shd w:val="clear" w:color="auto" w:fill="FFFFFF"/>
            <w:vAlign w:val="center"/>
          </w:tcPr>
          <w:p>
            <w:pPr>
              <w:jc w:val="left"/>
            </w:pPr>
            <w:r>
              <w:drawing>
                <wp:inline distT="0" distB="0" distL="114300" distR="114300">
                  <wp:extent cx="895350" cy="114300"/>
                  <wp:effectExtent l="0" t="0" r="6350" b="0"/>
                  <wp:docPr id="100001" name="图片 100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true"/>
                          </pic:cNvPicPr>
                        </pic:nvPicPr>
                        <pic:blipFill>
                          <a:blip r:embed="rId11"/>
                          <a:stretch>
                            <a:fillRect/>
                          </a:stretch>
                        </pic:blipFill>
                        <pic:spPr>
                          <a:xfrm>
                            <a:off x="0" y="0"/>
                            <a:ext cx="895475" cy="114316"/>
                          </a:xfrm>
                          <a:prstGeom prst="rect">
                            <a:avLst/>
                          </a:prstGeom>
                        </pic:spPr>
                      </pic:pic>
                    </a:graphicData>
                  </a:graphic>
                </wp:inline>
              </w:drawing>
            </w:r>
            <w:r>
              <w:drawing>
                <wp:inline distT="0" distB="0" distL="114300" distR="114300">
                  <wp:extent cx="457200" cy="114300"/>
                  <wp:effectExtent l="0" t="0" r="0" b="0"/>
                  <wp:docPr id="100002" name="图片 1000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true"/>
                          </pic:cNvPicPr>
                        </pic:nvPicPr>
                        <pic:blipFill>
                          <a:blip r:embed="rId12"/>
                          <a:stretch>
                            <a:fillRect/>
                          </a:stretch>
                        </pic:blipFill>
                        <pic:spPr>
                          <a:xfrm>
                            <a:off x="0" y="0"/>
                            <a:ext cx="457264" cy="114316"/>
                          </a:xfrm>
                          <a:prstGeom prst="rect">
                            <a:avLst/>
                          </a:prstGeom>
                        </pic:spPr>
                      </pic:pic>
                    </a:graphicData>
                  </a:graphic>
                </wp:inline>
              </w:drawing>
            </w:r>
            <w:r>
              <w:t>66.23%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B.女</w:t>
            </w:r>
          </w:p>
        </w:tc>
        <w:tc>
          <w:tcPr>
            <w:tcW w:w="1000" w:type="dxa"/>
            <w:shd w:val="clear" w:color="auto" w:fill="FAFAFA"/>
            <w:vAlign w:val="center"/>
          </w:tcPr>
          <w:p>
            <w:pPr>
              <w:jc w:val="center"/>
            </w:pPr>
            <w:r>
              <w:t>26</w:t>
            </w:r>
          </w:p>
        </w:tc>
        <w:tc>
          <w:tcPr>
            <w:tcW w:w="3106" w:type="dxa"/>
            <w:shd w:val="clear" w:color="auto" w:fill="FAFAFA"/>
            <w:vAlign w:val="center"/>
          </w:tcPr>
          <w:p>
            <w:pPr>
              <w:jc w:val="left"/>
            </w:pPr>
            <w:r>
              <w:drawing>
                <wp:inline distT="0" distB="0" distL="114300" distR="114300">
                  <wp:extent cx="447675" cy="114300"/>
                  <wp:effectExtent l="0" t="0" r="9525" b="0"/>
                  <wp:docPr id="100003" name="图片 1000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true"/>
                          </pic:cNvPicPr>
                        </pic:nvPicPr>
                        <pic:blipFill>
                          <a:blip r:embed="rId13"/>
                          <a:stretch>
                            <a:fillRect/>
                          </a:stretch>
                        </pic:blipFill>
                        <pic:spPr>
                          <a:xfrm>
                            <a:off x="0" y="0"/>
                            <a:ext cx="447737" cy="114316"/>
                          </a:xfrm>
                          <a:prstGeom prst="rect">
                            <a:avLst/>
                          </a:prstGeom>
                        </pic:spPr>
                      </pic:pic>
                    </a:graphicData>
                  </a:graphic>
                </wp:inline>
              </w:drawing>
            </w:r>
            <w:r>
              <w:drawing>
                <wp:inline distT="0" distB="0" distL="114300" distR="114300">
                  <wp:extent cx="904875" cy="114300"/>
                  <wp:effectExtent l="0" t="0" r="9525" b="0"/>
                  <wp:docPr id="100004" name="图片 1000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true"/>
                          </pic:cNvPicPr>
                        </pic:nvPicPr>
                        <pic:blipFill>
                          <a:blip r:embed="rId14"/>
                          <a:stretch>
                            <a:fillRect/>
                          </a:stretch>
                        </pic:blipFill>
                        <pic:spPr>
                          <a:xfrm>
                            <a:off x="0" y="0"/>
                            <a:ext cx="905001" cy="114316"/>
                          </a:xfrm>
                          <a:prstGeom prst="rect">
                            <a:avLst/>
                          </a:prstGeom>
                        </pic:spPr>
                      </pic:pic>
                    </a:graphicData>
                  </a:graphic>
                </wp:inline>
              </w:drawing>
            </w:r>
            <w:r>
              <w:t>33.77%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3.您的年龄：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A.20岁以下</w:t>
            </w:r>
          </w:p>
        </w:tc>
        <w:tc>
          <w:tcPr>
            <w:tcW w:w="1000" w:type="dxa"/>
            <w:shd w:val="clear" w:color="auto" w:fill="FFFFFF"/>
            <w:vAlign w:val="center"/>
          </w:tcPr>
          <w:p>
            <w:pPr>
              <w:jc w:val="center"/>
            </w:pPr>
            <w:r>
              <w:t>3</w:t>
            </w:r>
          </w:p>
        </w:tc>
        <w:tc>
          <w:tcPr>
            <w:tcW w:w="3106" w:type="dxa"/>
            <w:shd w:val="clear" w:color="auto" w:fill="FFFFFF"/>
            <w:vAlign w:val="center"/>
          </w:tcPr>
          <w:p>
            <w:pPr>
              <w:jc w:val="left"/>
            </w:pPr>
            <w:r>
              <w:drawing>
                <wp:inline distT="0" distB="0" distL="114300" distR="114300">
                  <wp:extent cx="47625" cy="114300"/>
                  <wp:effectExtent l="0" t="0" r="3175" b="0"/>
                  <wp:docPr id="100005" name="图片 1000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true"/>
                          </pic:cNvPicPr>
                        </pic:nvPicPr>
                        <pic:blipFill>
                          <a:blip r:embed="rId15"/>
                          <a:stretch>
                            <a:fillRect/>
                          </a:stretch>
                        </pic:blipFill>
                        <pic:spPr>
                          <a:xfrm>
                            <a:off x="0" y="0"/>
                            <a:ext cx="47632" cy="114316"/>
                          </a:xfrm>
                          <a:prstGeom prst="rect">
                            <a:avLst/>
                          </a:prstGeom>
                        </pic:spPr>
                      </pic:pic>
                    </a:graphicData>
                  </a:graphic>
                </wp:inline>
              </w:drawing>
            </w:r>
            <w:r>
              <w:drawing>
                <wp:inline distT="0" distB="0" distL="114300" distR="114300">
                  <wp:extent cx="1304925" cy="114300"/>
                  <wp:effectExtent l="0" t="0" r="3175" b="0"/>
                  <wp:docPr id="100006" name="图片 1000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true"/>
                          </pic:cNvPicPr>
                        </pic:nvPicPr>
                        <pic:blipFill>
                          <a:blip r:embed="rId16"/>
                          <a:stretch>
                            <a:fillRect/>
                          </a:stretch>
                        </pic:blipFill>
                        <pic:spPr>
                          <a:xfrm>
                            <a:off x="0" y="0"/>
                            <a:ext cx="1305107" cy="114316"/>
                          </a:xfrm>
                          <a:prstGeom prst="rect">
                            <a:avLst/>
                          </a:prstGeom>
                        </pic:spPr>
                      </pic:pic>
                    </a:graphicData>
                  </a:graphic>
                </wp:inline>
              </w:drawing>
            </w:r>
            <w:r>
              <w:t>3.9%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B.21-40</w:t>
            </w:r>
          </w:p>
        </w:tc>
        <w:tc>
          <w:tcPr>
            <w:tcW w:w="1000" w:type="dxa"/>
            <w:shd w:val="clear" w:color="auto" w:fill="FAFAFA"/>
            <w:vAlign w:val="center"/>
          </w:tcPr>
          <w:p>
            <w:pPr>
              <w:jc w:val="center"/>
            </w:pPr>
            <w:r>
              <w:t>23</w:t>
            </w:r>
          </w:p>
        </w:tc>
        <w:tc>
          <w:tcPr>
            <w:tcW w:w="3106" w:type="dxa"/>
            <w:shd w:val="clear" w:color="auto" w:fill="FAFAFA"/>
            <w:vAlign w:val="center"/>
          </w:tcPr>
          <w:p>
            <w:pPr>
              <w:jc w:val="left"/>
            </w:pPr>
            <w:r>
              <w:drawing>
                <wp:inline distT="0" distB="0" distL="114300" distR="114300">
                  <wp:extent cx="400050" cy="114300"/>
                  <wp:effectExtent l="0" t="0" r="6350" b="0"/>
                  <wp:docPr id="100007" name="图片 1000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true"/>
                          </pic:cNvPicPr>
                        </pic:nvPicPr>
                        <pic:blipFill>
                          <a:blip r:embed="rId17"/>
                          <a:stretch>
                            <a:fillRect/>
                          </a:stretch>
                        </pic:blipFill>
                        <pic:spPr>
                          <a:xfrm>
                            <a:off x="0" y="0"/>
                            <a:ext cx="400106" cy="114316"/>
                          </a:xfrm>
                          <a:prstGeom prst="rect">
                            <a:avLst/>
                          </a:prstGeom>
                        </pic:spPr>
                      </pic:pic>
                    </a:graphicData>
                  </a:graphic>
                </wp:inline>
              </w:drawing>
            </w:r>
            <w:r>
              <w:drawing>
                <wp:inline distT="0" distB="0" distL="114300" distR="114300">
                  <wp:extent cx="952500" cy="114300"/>
                  <wp:effectExtent l="0" t="0" r="0" b="0"/>
                  <wp:docPr id="100008" name="图片 1000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true"/>
                          </pic:cNvPicPr>
                        </pic:nvPicPr>
                        <pic:blipFill>
                          <a:blip r:embed="rId18"/>
                          <a:stretch>
                            <a:fillRect/>
                          </a:stretch>
                        </pic:blipFill>
                        <pic:spPr>
                          <a:xfrm>
                            <a:off x="0" y="0"/>
                            <a:ext cx="952633" cy="114316"/>
                          </a:xfrm>
                          <a:prstGeom prst="rect">
                            <a:avLst/>
                          </a:prstGeom>
                        </pic:spPr>
                      </pic:pic>
                    </a:graphicData>
                  </a:graphic>
                </wp:inline>
              </w:drawing>
            </w:r>
            <w:r>
              <w:t>29.87%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C.41-60</w:t>
            </w:r>
          </w:p>
        </w:tc>
        <w:tc>
          <w:tcPr>
            <w:tcW w:w="1000" w:type="dxa"/>
            <w:shd w:val="clear" w:color="auto" w:fill="FFFFFF"/>
            <w:vAlign w:val="center"/>
          </w:tcPr>
          <w:p>
            <w:pPr>
              <w:jc w:val="center"/>
            </w:pPr>
            <w:r>
              <w:t>40</w:t>
            </w:r>
          </w:p>
        </w:tc>
        <w:tc>
          <w:tcPr>
            <w:tcW w:w="3106" w:type="dxa"/>
            <w:shd w:val="clear" w:color="auto" w:fill="FFFFFF"/>
            <w:vAlign w:val="center"/>
          </w:tcPr>
          <w:p>
            <w:pPr>
              <w:jc w:val="left"/>
            </w:pPr>
            <w:r>
              <w:drawing>
                <wp:inline distT="0" distB="0" distL="114300" distR="114300">
                  <wp:extent cx="695325" cy="114300"/>
                  <wp:effectExtent l="0" t="0" r="3175" b="0"/>
                  <wp:docPr id="100009" name="图片 1000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true"/>
                          </pic:cNvPicPr>
                        </pic:nvPicPr>
                        <pic:blipFill>
                          <a:blip r:embed="rId19"/>
                          <a:stretch>
                            <a:fillRect/>
                          </a:stretch>
                        </pic:blipFill>
                        <pic:spPr>
                          <a:xfrm>
                            <a:off x="0" y="0"/>
                            <a:ext cx="695422" cy="114316"/>
                          </a:xfrm>
                          <a:prstGeom prst="rect">
                            <a:avLst/>
                          </a:prstGeom>
                        </pic:spPr>
                      </pic:pic>
                    </a:graphicData>
                  </a:graphic>
                </wp:inline>
              </w:drawing>
            </w:r>
            <w:r>
              <w:drawing>
                <wp:inline distT="0" distB="0" distL="114300" distR="114300">
                  <wp:extent cx="657225" cy="114300"/>
                  <wp:effectExtent l="0" t="0" r="3175" b="0"/>
                  <wp:docPr id="100010" name="图片 1000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true"/>
                          </pic:cNvPicPr>
                        </pic:nvPicPr>
                        <pic:blipFill>
                          <a:blip r:embed="rId20"/>
                          <a:stretch>
                            <a:fillRect/>
                          </a:stretch>
                        </pic:blipFill>
                        <pic:spPr>
                          <a:xfrm>
                            <a:off x="0" y="0"/>
                            <a:ext cx="657317" cy="114316"/>
                          </a:xfrm>
                          <a:prstGeom prst="rect">
                            <a:avLst/>
                          </a:prstGeom>
                        </pic:spPr>
                      </pic:pic>
                    </a:graphicData>
                  </a:graphic>
                </wp:inline>
              </w:drawing>
            </w:r>
            <w:r>
              <w:t>51.95%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D.61岁以上</w:t>
            </w:r>
          </w:p>
        </w:tc>
        <w:tc>
          <w:tcPr>
            <w:tcW w:w="1000" w:type="dxa"/>
            <w:shd w:val="clear" w:color="auto" w:fill="FAFAFA"/>
            <w:vAlign w:val="center"/>
          </w:tcPr>
          <w:p>
            <w:pPr>
              <w:jc w:val="center"/>
            </w:pPr>
            <w:r>
              <w:t>11</w:t>
            </w:r>
          </w:p>
        </w:tc>
        <w:tc>
          <w:tcPr>
            <w:tcW w:w="3106" w:type="dxa"/>
            <w:shd w:val="clear" w:color="auto" w:fill="FAFAFA"/>
            <w:vAlign w:val="center"/>
          </w:tcPr>
          <w:p>
            <w:pPr>
              <w:jc w:val="left"/>
            </w:pPr>
            <w:r>
              <w:drawing>
                <wp:inline distT="0" distB="0" distL="114300" distR="114300">
                  <wp:extent cx="190500" cy="114300"/>
                  <wp:effectExtent l="0" t="0" r="0" b="0"/>
                  <wp:docPr id="100011" name="图片 1000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true"/>
                          </pic:cNvPicPr>
                        </pic:nvPicPr>
                        <pic:blipFill>
                          <a:blip r:embed="rId21"/>
                          <a:stretch>
                            <a:fillRect/>
                          </a:stretch>
                        </pic:blipFill>
                        <pic:spPr>
                          <a:xfrm>
                            <a:off x="0" y="0"/>
                            <a:ext cx="190527" cy="114316"/>
                          </a:xfrm>
                          <a:prstGeom prst="rect">
                            <a:avLst/>
                          </a:prstGeom>
                        </pic:spPr>
                      </pic:pic>
                    </a:graphicData>
                  </a:graphic>
                </wp:inline>
              </w:drawing>
            </w:r>
            <w:r>
              <w:drawing>
                <wp:inline distT="0" distB="0" distL="114300" distR="114300">
                  <wp:extent cx="1162050" cy="114300"/>
                  <wp:effectExtent l="0" t="0" r="6350" b="0"/>
                  <wp:docPr id="100012" name="图片 1000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true"/>
                          </pic:cNvPicPr>
                        </pic:nvPicPr>
                        <pic:blipFill>
                          <a:blip r:embed="rId22"/>
                          <a:stretch>
                            <a:fillRect/>
                          </a:stretch>
                        </pic:blipFill>
                        <pic:spPr>
                          <a:xfrm>
                            <a:off x="0" y="0"/>
                            <a:ext cx="1162212" cy="114316"/>
                          </a:xfrm>
                          <a:prstGeom prst="rect">
                            <a:avLst/>
                          </a:prstGeom>
                        </pic:spPr>
                      </pic:pic>
                    </a:graphicData>
                  </a:graphic>
                </wp:inline>
              </w:drawing>
            </w:r>
            <w:r>
              <w:t>14.29%</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4.您家周围是否建设过水美乡村项目？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33500" cy="114300"/>
                  <wp:effectExtent l="0" t="0" r="0" b="0"/>
                  <wp:docPr id="100013" name="图片 1000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14" name="图片 1000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15" name="图片 1000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16" name="图片 1000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77</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5.您是否参与过水美乡村项目建设？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18</w:t>
            </w:r>
          </w:p>
        </w:tc>
        <w:tc>
          <w:tcPr>
            <w:tcW w:w="3106" w:type="dxa"/>
            <w:shd w:val="clear" w:color="auto" w:fill="FFFFFF"/>
            <w:vAlign w:val="center"/>
          </w:tcPr>
          <w:p>
            <w:pPr>
              <w:jc w:val="left"/>
            </w:pPr>
            <w:r>
              <w:drawing>
                <wp:inline distT="0" distB="0" distL="114300" distR="114300">
                  <wp:extent cx="314325" cy="114300"/>
                  <wp:effectExtent l="0" t="0" r="3175" b="0"/>
                  <wp:docPr id="100017" name="图片 1000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true"/>
                          </pic:cNvPicPr>
                        </pic:nvPicPr>
                        <pic:blipFill>
                          <a:blip r:embed="rId27"/>
                          <a:stretch>
                            <a:fillRect/>
                          </a:stretch>
                        </pic:blipFill>
                        <pic:spPr>
                          <a:xfrm>
                            <a:off x="0" y="0"/>
                            <a:ext cx="314369" cy="114316"/>
                          </a:xfrm>
                          <a:prstGeom prst="rect">
                            <a:avLst/>
                          </a:prstGeom>
                        </pic:spPr>
                      </pic:pic>
                    </a:graphicData>
                  </a:graphic>
                </wp:inline>
              </w:drawing>
            </w:r>
            <w:r>
              <w:drawing>
                <wp:inline distT="0" distB="0" distL="114300" distR="114300">
                  <wp:extent cx="1038225" cy="114300"/>
                  <wp:effectExtent l="0" t="0" r="3175" b="0"/>
                  <wp:docPr id="100018" name="图片 1000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true"/>
                          </pic:cNvPicPr>
                        </pic:nvPicPr>
                        <pic:blipFill>
                          <a:blip r:embed="rId28"/>
                          <a:stretch>
                            <a:fillRect/>
                          </a:stretch>
                        </pic:blipFill>
                        <pic:spPr>
                          <a:xfrm>
                            <a:off x="0" y="0"/>
                            <a:ext cx="1038370" cy="114316"/>
                          </a:xfrm>
                          <a:prstGeom prst="rect">
                            <a:avLst/>
                          </a:prstGeom>
                        </pic:spPr>
                      </pic:pic>
                    </a:graphicData>
                  </a:graphic>
                </wp:inline>
              </w:drawing>
            </w:r>
            <w:r>
              <w:t>23.68%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58</w:t>
            </w:r>
          </w:p>
        </w:tc>
        <w:tc>
          <w:tcPr>
            <w:tcW w:w="3106" w:type="dxa"/>
            <w:shd w:val="clear" w:color="auto" w:fill="FAFAFA"/>
            <w:vAlign w:val="center"/>
          </w:tcPr>
          <w:p>
            <w:pPr>
              <w:jc w:val="left"/>
            </w:pPr>
            <w:r>
              <w:drawing>
                <wp:inline distT="0" distB="0" distL="114300" distR="114300">
                  <wp:extent cx="1028700" cy="114300"/>
                  <wp:effectExtent l="0" t="0" r="0" b="0"/>
                  <wp:docPr id="100019" name="图片 1000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true"/>
                          </pic:cNvPicPr>
                        </pic:nvPicPr>
                        <pic:blipFill>
                          <a:blip r:embed="rId29"/>
                          <a:stretch>
                            <a:fillRect/>
                          </a:stretch>
                        </pic:blipFill>
                        <pic:spPr>
                          <a:xfrm>
                            <a:off x="0" y="0"/>
                            <a:ext cx="1028844" cy="114316"/>
                          </a:xfrm>
                          <a:prstGeom prst="rect">
                            <a:avLst/>
                          </a:prstGeom>
                        </pic:spPr>
                      </pic:pic>
                    </a:graphicData>
                  </a:graphic>
                </wp:inline>
              </w:drawing>
            </w:r>
            <w:r>
              <w:drawing>
                <wp:inline distT="0" distB="0" distL="114300" distR="114300">
                  <wp:extent cx="323850" cy="114300"/>
                  <wp:effectExtent l="0" t="0" r="6350" b="0"/>
                  <wp:docPr id="100020" name="图片 1000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true"/>
                          </pic:cNvPicPr>
                        </pic:nvPicPr>
                        <pic:blipFill>
                          <a:blip r:embed="rId30"/>
                          <a:stretch>
                            <a:fillRect/>
                          </a:stretch>
                        </pic:blipFill>
                        <pic:spPr>
                          <a:xfrm>
                            <a:off x="0" y="0"/>
                            <a:ext cx="323895" cy="114316"/>
                          </a:xfrm>
                          <a:prstGeom prst="rect">
                            <a:avLst/>
                          </a:prstGeom>
                        </pic:spPr>
                      </pic:pic>
                    </a:graphicData>
                  </a:graphic>
                </wp:inline>
              </w:drawing>
            </w:r>
            <w:r>
              <w:t>76.32%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6.您认为水美乡村项目建成后，周围的水系功能</w:t>
      </w:r>
      <w:r>
        <w:rPr>
          <w:rFonts w:hint="eastAsia" w:eastAsia="宋体"/>
          <w:b w:val="0"/>
          <w:color w:val="000000"/>
          <w:sz w:val="24"/>
          <w:lang w:eastAsia="zh-CN"/>
        </w:rPr>
        <w:t>（</w:t>
      </w:r>
      <w:r>
        <w:rPr>
          <w:b w:val="0"/>
          <w:color w:val="000000"/>
          <w:sz w:val="24"/>
        </w:rPr>
        <w:t>防洪标准、水质等</w:t>
      </w:r>
      <w:r>
        <w:rPr>
          <w:rFonts w:hint="eastAsia" w:eastAsia="宋体"/>
          <w:b w:val="0"/>
          <w:color w:val="000000"/>
          <w:sz w:val="24"/>
          <w:lang w:eastAsia="zh-CN"/>
        </w:rPr>
        <w:t>）</w:t>
      </w:r>
      <w:r>
        <w:rPr>
          <w:b w:val="0"/>
          <w:color w:val="000000"/>
          <w:sz w:val="24"/>
        </w:rPr>
        <w:t xml:space="preserve">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1" name="图片 1000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2" name="图片 1000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3" name="图片 1000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7.您认为水美乡村项目建成后，生态环境是否得到改善？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4" name="图片 1000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5" name="图片 1000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6" name="图片 1000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8.您认为水美乡村项目建成后，村容村貌是否得到改善？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27" name="图片 1000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28" name="图片 1000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29" name="图片 1000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9.您认为水美乡村项目建成后，出行是否得到改善？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71</w:t>
            </w:r>
          </w:p>
        </w:tc>
        <w:tc>
          <w:tcPr>
            <w:tcW w:w="3106" w:type="dxa"/>
            <w:shd w:val="clear" w:color="auto" w:fill="FFFFFF"/>
            <w:vAlign w:val="center"/>
          </w:tcPr>
          <w:p>
            <w:pPr>
              <w:jc w:val="left"/>
            </w:pPr>
            <w:r>
              <w:drawing>
                <wp:inline distT="0" distB="0" distL="114300" distR="114300">
                  <wp:extent cx="1257300" cy="114300"/>
                  <wp:effectExtent l="0" t="0" r="0" b="0"/>
                  <wp:docPr id="100030" name="图片 1000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true"/>
                          </pic:cNvPicPr>
                        </pic:nvPicPr>
                        <pic:blipFill>
                          <a:blip r:embed="rId33"/>
                          <a:stretch>
                            <a:fillRect/>
                          </a:stretch>
                        </pic:blipFill>
                        <pic:spPr>
                          <a:xfrm>
                            <a:off x="0" y="0"/>
                            <a:ext cx="1257476" cy="114316"/>
                          </a:xfrm>
                          <a:prstGeom prst="rect">
                            <a:avLst/>
                          </a:prstGeom>
                        </pic:spPr>
                      </pic:pic>
                    </a:graphicData>
                  </a:graphic>
                </wp:inline>
              </w:drawing>
            </w:r>
            <w:r>
              <w:drawing>
                <wp:inline distT="0" distB="0" distL="114300" distR="114300">
                  <wp:extent cx="95250" cy="114300"/>
                  <wp:effectExtent l="0" t="0" r="6350" b="0"/>
                  <wp:docPr id="100031" name="图片 1000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true"/>
                          </pic:cNvPicPr>
                        </pic:nvPicPr>
                        <pic:blipFill>
                          <a:blip r:embed="rId34"/>
                          <a:stretch>
                            <a:fillRect/>
                          </a:stretch>
                        </pic:blipFill>
                        <pic:spPr>
                          <a:xfrm>
                            <a:off x="0" y="0"/>
                            <a:ext cx="95263" cy="114316"/>
                          </a:xfrm>
                          <a:prstGeom prst="rect">
                            <a:avLst/>
                          </a:prstGeom>
                        </pic:spPr>
                      </pic:pic>
                    </a:graphicData>
                  </a:graphic>
                </wp:inline>
              </w:drawing>
            </w:r>
            <w:r>
              <w:t>93.42%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5</w:t>
            </w:r>
          </w:p>
        </w:tc>
        <w:tc>
          <w:tcPr>
            <w:tcW w:w="3106" w:type="dxa"/>
            <w:shd w:val="clear" w:color="auto" w:fill="FAFAFA"/>
            <w:vAlign w:val="center"/>
          </w:tcPr>
          <w:p>
            <w:pPr>
              <w:jc w:val="left"/>
            </w:pPr>
            <w:r>
              <w:drawing>
                <wp:inline distT="0" distB="0" distL="114300" distR="114300">
                  <wp:extent cx="85725" cy="114300"/>
                  <wp:effectExtent l="0" t="0" r="3175" b="0"/>
                  <wp:docPr id="100032" name="图片 1000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true"/>
                          </pic:cNvPicPr>
                        </pic:nvPicPr>
                        <pic:blipFill>
                          <a:blip r:embed="rId35"/>
                          <a:stretch>
                            <a:fillRect/>
                          </a:stretch>
                        </pic:blipFill>
                        <pic:spPr>
                          <a:xfrm>
                            <a:off x="0" y="0"/>
                            <a:ext cx="85737" cy="114316"/>
                          </a:xfrm>
                          <a:prstGeom prst="rect">
                            <a:avLst/>
                          </a:prstGeom>
                        </pic:spPr>
                      </pic:pic>
                    </a:graphicData>
                  </a:graphic>
                </wp:inline>
              </w:drawing>
            </w:r>
            <w:r>
              <w:drawing>
                <wp:inline distT="0" distB="0" distL="114300" distR="114300">
                  <wp:extent cx="1266825" cy="114300"/>
                  <wp:effectExtent l="0" t="0" r="3175" b="0"/>
                  <wp:docPr id="100033" name="图片 1000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true"/>
                          </pic:cNvPicPr>
                        </pic:nvPicPr>
                        <pic:blipFill>
                          <a:blip r:embed="rId36"/>
                          <a:stretch>
                            <a:fillRect/>
                          </a:stretch>
                        </pic:blipFill>
                        <pic:spPr>
                          <a:xfrm>
                            <a:off x="0" y="0"/>
                            <a:ext cx="1267002" cy="114316"/>
                          </a:xfrm>
                          <a:prstGeom prst="rect">
                            <a:avLst/>
                          </a:prstGeom>
                        </pic:spPr>
                      </pic:pic>
                    </a:graphicData>
                  </a:graphic>
                </wp:inline>
              </w:drawing>
            </w:r>
            <w:r>
              <w:t>6.58%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34" name="图片 1000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10.您认为水美乡村项目建成后，您的业余生活是否得到改善？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35" name="图片 1000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36" name="图片 1000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37" name="图片 1000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11.您认为水美乡村项目建成后，您的生活水平是否得到改善？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A.明显改善</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38" name="图片 1000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39" name="图片 1000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B.一般</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40" name="图片 1000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41" name="图片 1000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pPr>
              <w:jc w:val="left"/>
            </w:pPr>
            <w:r>
              <w:t>C.无改善</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2" name="图片 1000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12.您对水美乡村项目的建设工期满意程度如何？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43" name="图片 1000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44" name="图片 1000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45" name="图片 1000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46" name="图片 1000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7" name="图片 1000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48" name="图片 1000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49" name="图片 1000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13.您对水美乡村项目的建设成效</w:t>
      </w:r>
      <w:r>
        <w:rPr>
          <w:rFonts w:hint="eastAsia" w:eastAsia="宋体"/>
          <w:b w:val="0"/>
          <w:color w:val="000000"/>
          <w:sz w:val="24"/>
          <w:lang w:eastAsia="zh-CN"/>
        </w:rPr>
        <w:t>（</w:t>
      </w:r>
      <w:r>
        <w:rPr>
          <w:b w:val="0"/>
          <w:color w:val="000000"/>
          <w:sz w:val="24"/>
        </w:rPr>
        <w:t>环境的改善、出行的便利、收益的增加等等</w:t>
      </w:r>
      <w:r>
        <w:rPr>
          <w:rFonts w:hint="eastAsia" w:eastAsia="宋体"/>
          <w:b w:val="0"/>
          <w:color w:val="000000"/>
          <w:sz w:val="24"/>
          <w:lang w:eastAsia="zh-CN"/>
        </w:rPr>
        <w:t>）</w:t>
      </w:r>
      <w:r>
        <w:rPr>
          <w:b w:val="0"/>
          <w:color w:val="000000"/>
          <w:sz w:val="24"/>
        </w:rPr>
        <w:t xml:space="preserve">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73</w:t>
            </w:r>
          </w:p>
        </w:tc>
        <w:tc>
          <w:tcPr>
            <w:tcW w:w="3106" w:type="dxa"/>
            <w:shd w:val="clear" w:color="auto" w:fill="FFFFFF"/>
            <w:vAlign w:val="center"/>
          </w:tcPr>
          <w:p>
            <w:pPr>
              <w:jc w:val="left"/>
            </w:pPr>
            <w:r>
              <w:drawing>
                <wp:inline distT="0" distB="0" distL="114300" distR="114300">
                  <wp:extent cx="1295400" cy="114300"/>
                  <wp:effectExtent l="0" t="0" r="0" b="0"/>
                  <wp:docPr id="100050" name="图片 1000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true"/>
                          </pic:cNvPicPr>
                        </pic:nvPicPr>
                        <pic:blipFill>
                          <a:blip r:embed="rId37"/>
                          <a:stretch>
                            <a:fillRect/>
                          </a:stretch>
                        </pic:blipFill>
                        <pic:spPr>
                          <a:xfrm>
                            <a:off x="0" y="0"/>
                            <a:ext cx="1295581" cy="114316"/>
                          </a:xfrm>
                          <a:prstGeom prst="rect">
                            <a:avLst/>
                          </a:prstGeom>
                        </pic:spPr>
                      </pic:pic>
                    </a:graphicData>
                  </a:graphic>
                </wp:inline>
              </w:drawing>
            </w:r>
            <w:r>
              <w:drawing>
                <wp:inline distT="0" distB="0" distL="114300" distR="114300">
                  <wp:extent cx="57150" cy="114300"/>
                  <wp:effectExtent l="0" t="0" r="6350" b="0"/>
                  <wp:docPr id="100051" name="图片 1000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true"/>
                          </pic:cNvPicPr>
                        </pic:nvPicPr>
                        <pic:blipFill>
                          <a:blip r:embed="rId38"/>
                          <a:stretch>
                            <a:fillRect/>
                          </a:stretch>
                        </pic:blipFill>
                        <pic:spPr>
                          <a:xfrm>
                            <a:off x="0" y="0"/>
                            <a:ext cx="57158" cy="114316"/>
                          </a:xfrm>
                          <a:prstGeom prst="rect">
                            <a:avLst/>
                          </a:prstGeom>
                        </pic:spPr>
                      </pic:pic>
                    </a:graphicData>
                  </a:graphic>
                </wp:inline>
              </w:drawing>
            </w:r>
            <w:r>
              <w:t>96.05%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3</w:t>
            </w:r>
          </w:p>
        </w:tc>
        <w:tc>
          <w:tcPr>
            <w:tcW w:w="3106" w:type="dxa"/>
            <w:shd w:val="clear" w:color="auto" w:fill="FAFAFA"/>
            <w:vAlign w:val="center"/>
          </w:tcPr>
          <w:p>
            <w:pPr>
              <w:jc w:val="left"/>
            </w:pPr>
            <w:r>
              <w:drawing>
                <wp:inline distT="0" distB="0" distL="114300" distR="114300">
                  <wp:extent cx="47625" cy="114300"/>
                  <wp:effectExtent l="0" t="0" r="3175" b="0"/>
                  <wp:docPr id="100052" name="图片 1000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true"/>
                          </pic:cNvPicPr>
                        </pic:nvPicPr>
                        <pic:blipFill>
                          <a:blip r:embed="rId15"/>
                          <a:stretch>
                            <a:fillRect/>
                          </a:stretch>
                        </pic:blipFill>
                        <pic:spPr>
                          <a:xfrm>
                            <a:off x="0" y="0"/>
                            <a:ext cx="47632" cy="114316"/>
                          </a:xfrm>
                          <a:prstGeom prst="rect">
                            <a:avLst/>
                          </a:prstGeom>
                        </pic:spPr>
                      </pic:pic>
                    </a:graphicData>
                  </a:graphic>
                </wp:inline>
              </w:drawing>
            </w:r>
            <w:r>
              <w:drawing>
                <wp:inline distT="0" distB="0" distL="114300" distR="114300">
                  <wp:extent cx="1304925" cy="114300"/>
                  <wp:effectExtent l="0" t="0" r="3175" b="0"/>
                  <wp:docPr id="100053" name="图片 1000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true"/>
                          </pic:cNvPicPr>
                        </pic:nvPicPr>
                        <pic:blipFill>
                          <a:blip r:embed="rId16"/>
                          <a:stretch>
                            <a:fillRect/>
                          </a:stretch>
                        </pic:blipFill>
                        <pic:spPr>
                          <a:xfrm>
                            <a:off x="0" y="0"/>
                            <a:ext cx="1305107" cy="114316"/>
                          </a:xfrm>
                          <a:prstGeom prst="rect">
                            <a:avLst/>
                          </a:prstGeom>
                        </pic:spPr>
                      </pic:pic>
                    </a:graphicData>
                  </a:graphic>
                </wp:inline>
              </w:drawing>
            </w:r>
            <w:r>
              <w:t>3.95%</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54" name="图片 1000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55" name="图片 100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56" name="图片 1000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14.您对水美乡村项目建成后的管理维护满意程度如何？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74</w:t>
            </w:r>
          </w:p>
        </w:tc>
        <w:tc>
          <w:tcPr>
            <w:tcW w:w="3106" w:type="dxa"/>
            <w:shd w:val="clear" w:color="auto" w:fill="FFFFFF"/>
            <w:vAlign w:val="center"/>
          </w:tcPr>
          <w:p>
            <w:pPr>
              <w:jc w:val="left"/>
            </w:pPr>
            <w:r>
              <w:drawing>
                <wp:inline distT="0" distB="0" distL="114300" distR="114300">
                  <wp:extent cx="1314450" cy="114300"/>
                  <wp:effectExtent l="0" t="0" r="6350" b="0"/>
                  <wp:docPr id="100057" name="图片 1000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true"/>
                          </pic:cNvPicPr>
                        </pic:nvPicPr>
                        <pic:blipFill>
                          <a:blip r:embed="rId39"/>
                          <a:stretch>
                            <a:fillRect/>
                          </a:stretch>
                        </pic:blipFill>
                        <pic:spPr>
                          <a:xfrm>
                            <a:off x="0" y="0"/>
                            <a:ext cx="1314634" cy="114316"/>
                          </a:xfrm>
                          <a:prstGeom prst="rect">
                            <a:avLst/>
                          </a:prstGeom>
                        </pic:spPr>
                      </pic:pic>
                    </a:graphicData>
                  </a:graphic>
                </wp:inline>
              </w:drawing>
            </w:r>
            <w:r>
              <w:drawing>
                <wp:inline distT="0" distB="0" distL="114300" distR="114300">
                  <wp:extent cx="38100" cy="114300"/>
                  <wp:effectExtent l="0" t="0" r="0" b="0"/>
                  <wp:docPr id="100058" name="图片 1000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true"/>
                          </pic:cNvPicPr>
                        </pic:nvPicPr>
                        <pic:blipFill>
                          <a:blip r:embed="rId40"/>
                          <a:stretch>
                            <a:fillRect/>
                          </a:stretch>
                        </pic:blipFill>
                        <pic:spPr>
                          <a:xfrm>
                            <a:off x="0" y="0"/>
                            <a:ext cx="38105" cy="114316"/>
                          </a:xfrm>
                          <a:prstGeom prst="rect">
                            <a:avLst/>
                          </a:prstGeom>
                        </pic:spPr>
                      </pic:pic>
                    </a:graphicData>
                  </a:graphic>
                </wp:inline>
              </w:drawing>
            </w:r>
            <w:r>
              <w:t>97.37%</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2</w:t>
            </w:r>
          </w:p>
        </w:tc>
        <w:tc>
          <w:tcPr>
            <w:tcW w:w="3106" w:type="dxa"/>
            <w:shd w:val="clear" w:color="auto" w:fill="FAFAFA"/>
            <w:vAlign w:val="center"/>
          </w:tcPr>
          <w:p>
            <w:pPr>
              <w:jc w:val="left"/>
            </w:pPr>
            <w:r>
              <w:drawing>
                <wp:inline distT="0" distB="0" distL="114300" distR="114300">
                  <wp:extent cx="28575" cy="114300"/>
                  <wp:effectExtent l="0" t="0" r="9525" b="0"/>
                  <wp:docPr id="100059" name="图片 1000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true"/>
                          </pic:cNvPicPr>
                        </pic:nvPicPr>
                        <pic:blipFill>
                          <a:blip r:embed="rId41"/>
                          <a:stretch>
                            <a:fillRect/>
                          </a:stretch>
                        </pic:blipFill>
                        <pic:spPr>
                          <a:xfrm>
                            <a:off x="0" y="0"/>
                            <a:ext cx="28579" cy="114316"/>
                          </a:xfrm>
                          <a:prstGeom prst="rect">
                            <a:avLst/>
                          </a:prstGeom>
                        </pic:spPr>
                      </pic:pic>
                    </a:graphicData>
                  </a:graphic>
                </wp:inline>
              </w:drawing>
            </w:r>
            <w:r>
              <w:drawing>
                <wp:inline distT="0" distB="0" distL="114300" distR="114300">
                  <wp:extent cx="1323975" cy="114300"/>
                  <wp:effectExtent l="0" t="0" r="9525" b="0"/>
                  <wp:docPr id="100060" name="图片 1000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true"/>
                          </pic:cNvPicPr>
                        </pic:nvPicPr>
                        <pic:blipFill>
                          <a:blip r:embed="rId42"/>
                          <a:stretch>
                            <a:fillRect/>
                          </a:stretch>
                        </pic:blipFill>
                        <pic:spPr>
                          <a:xfrm>
                            <a:off x="0" y="0"/>
                            <a:ext cx="1324160" cy="114316"/>
                          </a:xfrm>
                          <a:prstGeom prst="rect">
                            <a:avLst/>
                          </a:prstGeom>
                        </pic:spPr>
                      </pic:pic>
                    </a:graphicData>
                  </a:graphic>
                </wp:inline>
              </w:drawing>
            </w:r>
            <w:r>
              <w:t>2.63%</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1" name="图片 1000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62" name="图片 1000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3" name="图片 1000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15.您对项目部门处理居民问题及时性和有效性的满意程度如何？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A.非常满意</w:t>
            </w:r>
          </w:p>
        </w:tc>
        <w:tc>
          <w:tcPr>
            <w:tcW w:w="1000" w:type="dxa"/>
            <w:shd w:val="clear" w:color="auto" w:fill="FFFFFF"/>
            <w:vAlign w:val="center"/>
          </w:tcPr>
          <w:p>
            <w:pPr>
              <w:jc w:val="center"/>
            </w:pPr>
            <w:r>
              <w:t>75</w:t>
            </w:r>
          </w:p>
        </w:tc>
        <w:tc>
          <w:tcPr>
            <w:tcW w:w="3106" w:type="dxa"/>
            <w:shd w:val="clear" w:color="auto" w:fill="FFFFFF"/>
            <w:vAlign w:val="center"/>
          </w:tcPr>
          <w:p>
            <w:pPr>
              <w:jc w:val="left"/>
            </w:pPr>
            <w:r>
              <w:drawing>
                <wp:inline distT="0" distB="0" distL="114300" distR="114300">
                  <wp:extent cx="1333500" cy="114300"/>
                  <wp:effectExtent l="0" t="0" r="0" b="0"/>
                  <wp:docPr id="100064" name="图片 1000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true"/>
                          </pic:cNvPicPr>
                        </pic:nvPicPr>
                        <pic:blipFill>
                          <a:blip r:embed="rId23"/>
                          <a:stretch>
                            <a:fillRect/>
                          </a:stretch>
                        </pic:blipFill>
                        <pic:spPr>
                          <a:xfrm>
                            <a:off x="0" y="0"/>
                            <a:ext cx="1333686" cy="114316"/>
                          </a:xfrm>
                          <a:prstGeom prst="rect">
                            <a:avLst/>
                          </a:prstGeom>
                        </pic:spPr>
                      </pic:pic>
                    </a:graphicData>
                  </a:graphic>
                </wp:inline>
              </w:drawing>
            </w:r>
            <w:r>
              <w:drawing>
                <wp:inline distT="0" distB="0" distL="114300" distR="114300">
                  <wp:extent cx="19050" cy="114300"/>
                  <wp:effectExtent l="0" t="0" r="6350" b="0"/>
                  <wp:docPr id="100065" name="图片 1000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true"/>
                          </pic:cNvPicPr>
                        </pic:nvPicPr>
                        <pic:blipFill>
                          <a:blip r:embed="rId24"/>
                          <a:stretch>
                            <a:fillRect/>
                          </a:stretch>
                        </pic:blipFill>
                        <pic:spPr>
                          <a:xfrm>
                            <a:off x="0" y="0"/>
                            <a:ext cx="19053" cy="114316"/>
                          </a:xfrm>
                          <a:prstGeom prst="rect">
                            <a:avLst/>
                          </a:prstGeom>
                        </pic:spPr>
                      </pic:pic>
                    </a:graphicData>
                  </a:graphic>
                </wp:inline>
              </w:drawing>
            </w:r>
            <w:r>
              <w:t>98.68%</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B.比较满意</w:t>
            </w:r>
          </w:p>
        </w:tc>
        <w:tc>
          <w:tcPr>
            <w:tcW w:w="1000" w:type="dxa"/>
            <w:shd w:val="clear" w:color="auto" w:fill="FAFAFA"/>
            <w:vAlign w:val="center"/>
          </w:tcPr>
          <w:p>
            <w:pPr>
              <w:jc w:val="center"/>
            </w:pPr>
            <w:r>
              <w:t>1</w:t>
            </w:r>
          </w:p>
        </w:tc>
        <w:tc>
          <w:tcPr>
            <w:tcW w:w="3106" w:type="dxa"/>
            <w:shd w:val="clear" w:color="auto" w:fill="FAFAFA"/>
            <w:vAlign w:val="center"/>
          </w:tcPr>
          <w:p>
            <w:pPr>
              <w:jc w:val="left"/>
            </w:pPr>
            <w:r>
              <w:drawing>
                <wp:inline distT="0" distB="0" distL="114300" distR="114300">
                  <wp:extent cx="9525" cy="114300"/>
                  <wp:effectExtent l="0" t="0" r="3175" b="0"/>
                  <wp:docPr id="100066" name="图片 1000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true"/>
                          </pic:cNvPicPr>
                        </pic:nvPicPr>
                        <pic:blipFill>
                          <a:blip r:embed="rId25"/>
                          <a:stretch>
                            <a:fillRect/>
                          </a:stretch>
                        </pic:blipFill>
                        <pic:spPr>
                          <a:xfrm>
                            <a:off x="0" y="0"/>
                            <a:ext cx="9526" cy="114316"/>
                          </a:xfrm>
                          <a:prstGeom prst="rect">
                            <a:avLst/>
                          </a:prstGeom>
                        </pic:spPr>
                      </pic:pic>
                    </a:graphicData>
                  </a:graphic>
                </wp:inline>
              </w:drawing>
            </w:r>
            <w:r>
              <w:drawing>
                <wp:inline distT="0" distB="0" distL="114300" distR="114300">
                  <wp:extent cx="1343025" cy="114300"/>
                  <wp:effectExtent l="0" t="0" r="3175" b="0"/>
                  <wp:docPr id="100067" name="图片 1000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true"/>
                          </pic:cNvPicPr>
                        </pic:nvPicPr>
                        <pic:blipFill>
                          <a:blip r:embed="rId26"/>
                          <a:stretch>
                            <a:fillRect/>
                          </a:stretch>
                        </pic:blipFill>
                        <pic:spPr>
                          <a:xfrm>
                            <a:off x="0" y="0"/>
                            <a:ext cx="1343212" cy="114316"/>
                          </a:xfrm>
                          <a:prstGeom prst="rect">
                            <a:avLst/>
                          </a:prstGeom>
                        </pic:spPr>
                      </pic:pic>
                    </a:graphicData>
                  </a:graphic>
                </wp:inline>
              </w:drawing>
            </w:r>
            <w:r>
              <w:t>1.32%</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C.一般</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68" name="图片 1000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D.不太满意</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69" name="图片 1000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E.很不满意</w:t>
            </w:r>
          </w:p>
        </w:tc>
        <w:tc>
          <w:tcPr>
            <w:tcW w:w="1000" w:type="dxa"/>
            <w:shd w:val="clear" w:color="auto" w:fill="FFFFFF"/>
            <w:vAlign w:val="center"/>
          </w:tcPr>
          <w:p>
            <w:pPr>
              <w:jc w:val="center"/>
            </w:pPr>
            <w:r>
              <w:t>0</w:t>
            </w:r>
          </w:p>
        </w:tc>
        <w:tc>
          <w:tcPr>
            <w:tcW w:w="3106" w:type="dxa"/>
            <w:shd w:val="clear" w:color="auto" w:fill="FFFFFF"/>
            <w:vAlign w:val="center"/>
          </w:tcPr>
          <w:p>
            <w:pPr>
              <w:jc w:val="left"/>
            </w:pPr>
            <w:r>
              <w:drawing>
                <wp:inline distT="0" distB="0" distL="114300" distR="114300">
                  <wp:extent cx="1352550" cy="114300"/>
                  <wp:effectExtent l="0" t="0" r="6350" b="0"/>
                  <wp:docPr id="100070" name="图片 1000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0" name="图片 100070"/>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
      <w:pPr>
        <w:rPr>
          <w:b w:val="0"/>
          <w:color w:val="0066FF"/>
          <w:sz w:val="24"/>
        </w:rPr>
      </w:pPr>
      <w:r>
        <w:rPr>
          <w:b w:val="0"/>
          <w:color w:val="000000"/>
          <w:sz w:val="24"/>
        </w:rPr>
        <w:t xml:space="preserve">16.您认为水美乡村项目是否值得推广？   </w:t>
      </w:r>
      <w:r>
        <w:rPr>
          <w:b w:val="0"/>
          <w:color w:val="0066FF"/>
          <w:sz w:val="24"/>
        </w:rPr>
        <w:t>[单选题]</w:t>
      </w:r>
    </w:p>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选项</w:t>
            </w:r>
          </w:p>
        </w:tc>
        <w:tc>
          <w:tcPr>
            <w:tcW w:w="1000" w:type="dxa"/>
            <w:shd w:val="clear" w:color="auto" w:fill="F5F5F5"/>
            <w:vAlign w:val="center"/>
          </w:tcPr>
          <w:p>
            <w:pPr>
              <w:jc w:val="center"/>
            </w:pPr>
            <w:r>
              <w:t>小计</w:t>
            </w:r>
          </w:p>
        </w:tc>
        <w:tc>
          <w:tcPr>
            <w:tcW w:w="3106" w:type="dxa"/>
            <w:shd w:val="clear" w:color="auto" w:fill="F5F5F5"/>
            <w:vAlign w:val="center"/>
          </w:tcPr>
          <w:p>
            <w:pPr>
              <w:jc w:val="left"/>
            </w:pPr>
            <w:r>
              <w:t>比例</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pPr>
              <w:jc w:val="left"/>
            </w:pPr>
            <w:r>
              <w:t>A.是</w:t>
            </w:r>
          </w:p>
        </w:tc>
        <w:tc>
          <w:tcPr>
            <w:tcW w:w="1000" w:type="dxa"/>
            <w:shd w:val="clear" w:color="auto" w:fill="FFFFFF"/>
            <w:vAlign w:val="center"/>
          </w:tcPr>
          <w:p>
            <w:pPr>
              <w:jc w:val="center"/>
            </w:pPr>
            <w:r>
              <w:t>76</w:t>
            </w:r>
          </w:p>
        </w:tc>
        <w:tc>
          <w:tcPr>
            <w:tcW w:w="3106" w:type="dxa"/>
            <w:shd w:val="clear" w:color="auto" w:fill="FFFFFF"/>
            <w:vAlign w:val="center"/>
          </w:tcPr>
          <w:p>
            <w:pPr>
              <w:jc w:val="left"/>
            </w:pPr>
            <w:r>
              <w:drawing>
                <wp:inline distT="0" distB="0" distL="114300" distR="114300">
                  <wp:extent cx="1352550" cy="114300"/>
                  <wp:effectExtent l="0" t="0" r="6350" b="0"/>
                  <wp:docPr id="100071" name="图片 1000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true"/>
                          </pic:cNvPicPr>
                        </pic:nvPicPr>
                        <pic:blipFill>
                          <a:blip r:embed="rId31"/>
                          <a:stretch>
                            <a:fillRect/>
                          </a:stretch>
                        </pic:blipFill>
                        <pic:spPr>
                          <a:xfrm>
                            <a:off x="0" y="0"/>
                            <a:ext cx="1352739" cy="114316"/>
                          </a:xfrm>
                          <a:prstGeom prst="rect">
                            <a:avLst/>
                          </a:prstGeom>
                        </pic:spPr>
                      </pic:pic>
                    </a:graphicData>
                  </a:graphic>
                </wp:inline>
              </w:drawing>
            </w:r>
            <w:r>
              <w:t>100%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pPr>
              <w:jc w:val="left"/>
            </w:pPr>
            <w:r>
              <w:t>B.否</w:t>
            </w:r>
          </w:p>
        </w:tc>
        <w:tc>
          <w:tcPr>
            <w:tcW w:w="1000" w:type="dxa"/>
            <w:shd w:val="clear" w:color="auto" w:fill="FAFAFA"/>
            <w:vAlign w:val="center"/>
          </w:tcPr>
          <w:p>
            <w:pPr>
              <w:jc w:val="center"/>
            </w:pPr>
            <w:r>
              <w:t>0</w:t>
            </w:r>
          </w:p>
        </w:tc>
        <w:tc>
          <w:tcPr>
            <w:tcW w:w="3106" w:type="dxa"/>
            <w:shd w:val="clear" w:color="auto" w:fill="FAFAFA"/>
            <w:vAlign w:val="center"/>
          </w:tcPr>
          <w:p>
            <w:pPr>
              <w:jc w:val="left"/>
            </w:pPr>
            <w:r>
              <w:drawing>
                <wp:inline distT="0" distB="0" distL="114300" distR="114300">
                  <wp:extent cx="1352550" cy="114300"/>
                  <wp:effectExtent l="0" t="0" r="6350" b="0"/>
                  <wp:docPr id="100072" name="图片 1000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0072" name="图片 100072"/>
                          <pic:cNvPicPr>
                            <a:picLocks noChangeAspect="true"/>
                          </pic:cNvPicPr>
                        </pic:nvPicPr>
                        <pic:blipFill>
                          <a:blip r:embed="rId32"/>
                          <a:stretch>
                            <a:fillRect/>
                          </a:stretch>
                        </pic:blipFill>
                        <pic:spPr>
                          <a:xfrm>
                            <a:off x="0" y="0"/>
                            <a:ext cx="1352739" cy="114316"/>
                          </a:xfrm>
                          <a:prstGeom prst="rect">
                            <a:avLst/>
                          </a:prstGeom>
                        </pic:spPr>
                      </pic:pic>
                    </a:graphicData>
                  </a:graphic>
                </wp:inline>
              </w:drawing>
            </w:r>
            <w:r>
              <w:t>0%</w:t>
            </w:r>
          </w:p>
        </w:tc>
      </w:tr>
      <w:tr>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pPr>
              <w:jc w:val="left"/>
            </w:pPr>
            <w:r>
              <w:t>本题有效填写人次</w:t>
            </w:r>
          </w:p>
        </w:tc>
        <w:tc>
          <w:tcPr>
            <w:tcW w:w="1000" w:type="dxa"/>
            <w:shd w:val="clear" w:color="auto" w:fill="F5F5F5"/>
            <w:vAlign w:val="center"/>
          </w:tcPr>
          <w:p>
            <w:pPr>
              <w:jc w:val="center"/>
            </w:pPr>
            <w:r>
              <w:t>76</w:t>
            </w:r>
          </w:p>
        </w:tc>
        <w:tc>
          <w:tcPr>
            <w:tcW w:w="3106" w:type="dxa"/>
            <w:shd w:val="clear" w:color="auto" w:fill="F5F5F5"/>
            <w:vAlign w:val="center"/>
          </w:tcPr>
          <w:p>
            <w:pPr>
              <w:jc w:val="left"/>
            </w:pPr>
          </w:p>
        </w:tc>
      </w:tr>
    </w:tbl>
    <w:p>
      <w:pPr>
        <w:pStyle w:val="2"/>
        <w:jc w:val="center"/>
        <w:rPr>
          <w:rFonts w:hint="eastAsia"/>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130"/>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5"/>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13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hZjg3ZTM3OTIzMDZmYzU4M2M1M2VkNzFkMDE3MGYifQ=="/>
  </w:docVars>
  <w:rsids>
    <w:rsidRoot w:val="712403FA"/>
    <w:rsid w:val="004B48CF"/>
    <w:rsid w:val="00501EE6"/>
    <w:rsid w:val="00704336"/>
    <w:rsid w:val="00D63A11"/>
    <w:rsid w:val="00DE1BE7"/>
    <w:rsid w:val="00F431B9"/>
    <w:rsid w:val="00F9257D"/>
    <w:rsid w:val="00FC3E1B"/>
    <w:rsid w:val="018A0F14"/>
    <w:rsid w:val="018C1643"/>
    <w:rsid w:val="01A85D51"/>
    <w:rsid w:val="01D77242"/>
    <w:rsid w:val="01DD364D"/>
    <w:rsid w:val="02385327"/>
    <w:rsid w:val="0241242E"/>
    <w:rsid w:val="02551A35"/>
    <w:rsid w:val="028B5457"/>
    <w:rsid w:val="029C7664"/>
    <w:rsid w:val="02EB6D30"/>
    <w:rsid w:val="0306581E"/>
    <w:rsid w:val="033C0E47"/>
    <w:rsid w:val="03634626"/>
    <w:rsid w:val="03855756"/>
    <w:rsid w:val="03CC3F79"/>
    <w:rsid w:val="04001E75"/>
    <w:rsid w:val="049727D9"/>
    <w:rsid w:val="04B62533"/>
    <w:rsid w:val="04F05F5C"/>
    <w:rsid w:val="05355B4E"/>
    <w:rsid w:val="053F077B"/>
    <w:rsid w:val="055C132D"/>
    <w:rsid w:val="059211F2"/>
    <w:rsid w:val="05AD3936"/>
    <w:rsid w:val="05C375FE"/>
    <w:rsid w:val="05D13AC9"/>
    <w:rsid w:val="066F6EF4"/>
    <w:rsid w:val="068C79F0"/>
    <w:rsid w:val="06B64A6C"/>
    <w:rsid w:val="070103DE"/>
    <w:rsid w:val="07B72717"/>
    <w:rsid w:val="07F46FEF"/>
    <w:rsid w:val="07F7533D"/>
    <w:rsid w:val="07F77E76"/>
    <w:rsid w:val="08907C6B"/>
    <w:rsid w:val="08BB3542"/>
    <w:rsid w:val="08D833C0"/>
    <w:rsid w:val="08D95826"/>
    <w:rsid w:val="09376339"/>
    <w:rsid w:val="095359AE"/>
    <w:rsid w:val="096E7880"/>
    <w:rsid w:val="097C1F9D"/>
    <w:rsid w:val="098B3F8E"/>
    <w:rsid w:val="09A03EDE"/>
    <w:rsid w:val="09DC68E6"/>
    <w:rsid w:val="0A2F5262"/>
    <w:rsid w:val="0A743D6A"/>
    <w:rsid w:val="0A8E1890"/>
    <w:rsid w:val="0AA03A6A"/>
    <w:rsid w:val="0AE4604C"/>
    <w:rsid w:val="0B2C354F"/>
    <w:rsid w:val="0B7A69B0"/>
    <w:rsid w:val="0B7F3FC7"/>
    <w:rsid w:val="0B9F3D21"/>
    <w:rsid w:val="0BAF384C"/>
    <w:rsid w:val="0BB93035"/>
    <w:rsid w:val="0BC1638D"/>
    <w:rsid w:val="0C2F1549"/>
    <w:rsid w:val="0C5E3BDC"/>
    <w:rsid w:val="0CB3217A"/>
    <w:rsid w:val="0CBE467B"/>
    <w:rsid w:val="0D4676DF"/>
    <w:rsid w:val="0D7D4536"/>
    <w:rsid w:val="0E6301A5"/>
    <w:rsid w:val="0E7E0566"/>
    <w:rsid w:val="0E820056"/>
    <w:rsid w:val="0EAF6971"/>
    <w:rsid w:val="0EEA5BFB"/>
    <w:rsid w:val="0F346E76"/>
    <w:rsid w:val="0F5512C6"/>
    <w:rsid w:val="100B5E29"/>
    <w:rsid w:val="10797237"/>
    <w:rsid w:val="10805480"/>
    <w:rsid w:val="1090632E"/>
    <w:rsid w:val="10BD35C7"/>
    <w:rsid w:val="10C1473A"/>
    <w:rsid w:val="10D4446D"/>
    <w:rsid w:val="10EA711E"/>
    <w:rsid w:val="1109680C"/>
    <w:rsid w:val="112076B2"/>
    <w:rsid w:val="11902A8A"/>
    <w:rsid w:val="11A227BD"/>
    <w:rsid w:val="11C646FD"/>
    <w:rsid w:val="11D230A2"/>
    <w:rsid w:val="12174F59"/>
    <w:rsid w:val="1246139A"/>
    <w:rsid w:val="12AD1419"/>
    <w:rsid w:val="12C16C73"/>
    <w:rsid w:val="12F9465F"/>
    <w:rsid w:val="131274CE"/>
    <w:rsid w:val="13180F89"/>
    <w:rsid w:val="132911E1"/>
    <w:rsid w:val="133D279D"/>
    <w:rsid w:val="133D454B"/>
    <w:rsid w:val="13855EF2"/>
    <w:rsid w:val="13D51853"/>
    <w:rsid w:val="13F51386"/>
    <w:rsid w:val="13FA243C"/>
    <w:rsid w:val="13FF5CA5"/>
    <w:rsid w:val="14005579"/>
    <w:rsid w:val="141C0605"/>
    <w:rsid w:val="144638D4"/>
    <w:rsid w:val="14AF76CB"/>
    <w:rsid w:val="14EF1875"/>
    <w:rsid w:val="14FC3F92"/>
    <w:rsid w:val="1517701E"/>
    <w:rsid w:val="152C2AC9"/>
    <w:rsid w:val="156564B1"/>
    <w:rsid w:val="156A1844"/>
    <w:rsid w:val="158030B9"/>
    <w:rsid w:val="15C40F54"/>
    <w:rsid w:val="15D8055B"/>
    <w:rsid w:val="16184DFC"/>
    <w:rsid w:val="165878EE"/>
    <w:rsid w:val="166433AC"/>
    <w:rsid w:val="16681976"/>
    <w:rsid w:val="16A82624"/>
    <w:rsid w:val="16C94348"/>
    <w:rsid w:val="16F46EE5"/>
    <w:rsid w:val="173F1128"/>
    <w:rsid w:val="176973D8"/>
    <w:rsid w:val="179A3284"/>
    <w:rsid w:val="17D31922"/>
    <w:rsid w:val="18023FB5"/>
    <w:rsid w:val="183B1275"/>
    <w:rsid w:val="18574301"/>
    <w:rsid w:val="18714C97"/>
    <w:rsid w:val="187C3D68"/>
    <w:rsid w:val="18BC5F12"/>
    <w:rsid w:val="192E4467"/>
    <w:rsid w:val="194D1260"/>
    <w:rsid w:val="197131A1"/>
    <w:rsid w:val="198D5B01"/>
    <w:rsid w:val="19DD0836"/>
    <w:rsid w:val="19E27BFB"/>
    <w:rsid w:val="1A393593"/>
    <w:rsid w:val="1A89276C"/>
    <w:rsid w:val="1AAD4C70"/>
    <w:rsid w:val="1ABD2416"/>
    <w:rsid w:val="1AD25EC1"/>
    <w:rsid w:val="1B155DAE"/>
    <w:rsid w:val="1B395F40"/>
    <w:rsid w:val="1B813443"/>
    <w:rsid w:val="1BB05D66"/>
    <w:rsid w:val="1BC577D4"/>
    <w:rsid w:val="1BDE0896"/>
    <w:rsid w:val="1C00080C"/>
    <w:rsid w:val="1C200EAE"/>
    <w:rsid w:val="1C2269D4"/>
    <w:rsid w:val="1C4E22E4"/>
    <w:rsid w:val="1C4E7F9D"/>
    <w:rsid w:val="1CF52322"/>
    <w:rsid w:val="1E0F4D36"/>
    <w:rsid w:val="1E4F5A7B"/>
    <w:rsid w:val="1E51534F"/>
    <w:rsid w:val="1E5C7DD9"/>
    <w:rsid w:val="1E933BB9"/>
    <w:rsid w:val="1E9B2A6E"/>
    <w:rsid w:val="1ECB5101"/>
    <w:rsid w:val="1F3507CD"/>
    <w:rsid w:val="1F4B7FF0"/>
    <w:rsid w:val="1F5844BB"/>
    <w:rsid w:val="1F7A36E2"/>
    <w:rsid w:val="1FAF3A62"/>
    <w:rsid w:val="1FB42039"/>
    <w:rsid w:val="1FCF5C49"/>
    <w:rsid w:val="1FD55B0C"/>
    <w:rsid w:val="201A79C2"/>
    <w:rsid w:val="204F5F26"/>
    <w:rsid w:val="209D2ACD"/>
    <w:rsid w:val="20CA5AF5"/>
    <w:rsid w:val="20D34084"/>
    <w:rsid w:val="20E7303F"/>
    <w:rsid w:val="20EA3839"/>
    <w:rsid w:val="21132D8F"/>
    <w:rsid w:val="21621621"/>
    <w:rsid w:val="21867A05"/>
    <w:rsid w:val="2210107D"/>
    <w:rsid w:val="221C3EC6"/>
    <w:rsid w:val="22574EFE"/>
    <w:rsid w:val="22B12860"/>
    <w:rsid w:val="22D4654E"/>
    <w:rsid w:val="22D87645"/>
    <w:rsid w:val="23030B29"/>
    <w:rsid w:val="2312765E"/>
    <w:rsid w:val="23243032"/>
    <w:rsid w:val="236D2C2B"/>
    <w:rsid w:val="239F4DAE"/>
    <w:rsid w:val="23DF2D56"/>
    <w:rsid w:val="23E26A49"/>
    <w:rsid w:val="245E07C6"/>
    <w:rsid w:val="247D50F0"/>
    <w:rsid w:val="25506360"/>
    <w:rsid w:val="259D70CC"/>
    <w:rsid w:val="25BC1216"/>
    <w:rsid w:val="25C97EC1"/>
    <w:rsid w:val="26265313"/>
    <w:rsid w:val="26B7240F"/>
    <w:rsid w:val="26E44BFC"/>
    <w:rsid w:val="27457A1B"/>
    <w:rsid w:val="27547EF1"/>
    <w:rsid w:val="276144AB"/>
    <w:rsid w:val="278542BB"/>
    <w:rsid w:val="278E3170"/>
    <w:rsid w:val="27D56FF1"/>
    <w:rsid w:val="286640ED"/>
    <w:rsid w:val="28847943"/>
    <w:rsid w:val="288D1679"/>
    <w:rsid w:val="28D23530"/>
    <w:rsid w:val="28F03182"/>
    <w:rsid w:val="2967011C"/>
    <w:rsid w:val="29693E94"/>
    <w:rsid w:val="29936EB5"/>
    <w:rsid w:val="29BD1AEA"/>
    <w:rsid w:val="29F37C02"/>
    <w:rsid w:val="29FF65A7"/>
    <w:rsid w:val="2A4B5348"/>
    <w:rsid w:val="2A691C72"/>
    <w:rsid w:val="2A905451"/>
    <w:rsid w:val="2AA64C74"/>
    <w:rsid w:val="2B115975"/>
    <w:rsid w:val="2B12230A"/>
    <w:rsid w:val="2B65243A"/>
    <w:rsid w:val="2B667F60"/>
    <w:rsid w:val="2B852ADC"/>
    <w:rsid w:val="2BE9306B"/>
    <w:rsid w:val="2D1B36F8"/>
    <w:rsid w:val="2D216834"/>
    <w:rsid w:val="2D7F7EB5"/>
    <w:rsid w:val="2DBA2F11"/>
    <w:rsid w:val="2DCE2518"/>
    <w:rsid w:val="2DD85145"/>
    <w:rsid w:val="2DF66D0E"/>
    <w:rsid w:val="2DFB2564"/>
    <w:rsid w:val="2E41718E"/>
    <w:rsid w:val="2E421A2F"/>
    <w:rsid w:val="2EA52F70"/>
    <w:rsid w:val="2ED33B5E"/>
    <w:rsid w:val="2F1E74CF"/>
    <w:rsid w:val="2F2B5748"/>
    <w:rsid w:val="2F2F5238"/>
    <w:rsid w:val="2F4752D0"/>
    <w:rsid w:val="2F6B3D97"/>
    <w:rsid w:val="2F9B4D95"/>
    <w:rsid w:val="2FD656B4"/>
    <w:rsid w:val="30085A89"/>
    <w:rsid w:val="30B5421D"/>
    <w:rsid w:val="30BF25EC"/>
    <w:rsid w:val="30C3032E"/>
    <w:rsid w:val="30D36097"/>
    <w:rsid w:val="30D37E45"/>
    <w:rsid w:val="30E42053"/>
    <w:rsid w:val="31215055"/>
    <w:rsid w:val="31435841"/>
    <w:rsid w:val="31523460"/>
    <w:rsid w:val="317E6003"/>
    <w:rsid w:val="319A0963"/>
    <w:rsid w:val="31D125D7"/>
    <w:rsid w:val="31F91332"/>
    <w:rsid w:val="321E5052"/>
    <w:rsid w:val="324B17FE"/>
    <w:rsid w:val="32523E2B"/>
    <w:rsid w:val="328A6C2A"/>
    <w:rsid w:val="32BF68D3"/>
    <w:rsid w:val="32D63C1D"/>
    <w:rsid w:val="32F80037"/>
    <w:rsid w:val="3304078A"/>
    <w:rsid w:val="33550C7E"/>
    <w:rsid w:val="3355548A"/>
    <w:rsid w:val="337F42B4"/>
    <w:rsid w:val="33B1023A"/>
    <w:rsid w:val="34092253"/>
    <w:rsid w:val="34684D49"/>
    <w:rsid w:val="346C2A8B"/>
    <w:rsid w:val="347A51A8"/>
    <w:rsid w:val="34AB35B3"/>
    <w:rsid w:val="34B22884"/>
    <w:rsid w:val="34B54432"/>
    <w:rsid w:val="3518051D"/>
    <w:rsid w:val="35223149"/>
    <w:rsid w:val="352944D8"/>
    <w:rsid w:val="356814A4"/>
    <w:rsid w:val="358E06D5"/>
    <w:rsid w:val="35AB133E"/>
    <w:rsid w:val="36024A57"/>
    <w:rsid w:val="36251143"/>
    <w:rsid w:val="363D5FAB"/>
    <w:rsid w:val="365607BB"/>
    <w:rsid w:val="369037A3"/>
    <w:rsid w:val="36B64491"/>
    <w:rsid w:val="36EE03B6"/>
    <w:rsid w:val="37023232"/>
    <w:rsid w:val="371A4A20"/>
    <w:rsid w:val="371F2036"/>
    <w:rsid w:val="372413FB"/>
    <w:rsid w:val="373A29CC"/>
    <w:rsid w:val="37425F4A"/>
    <w:rsid w:val="377C1237"/>
    <w:rsid w:val="377F4883"/>
    <w:rsid w:val="37841E99"/>
    <w:rsid w:val="37AB37BE"/>
    <w:rsid w:val="37E34E12"/>
    <w:rsid w:val="380B4369"/>
    <w:rsid w:val="382F62A9"/>
    <w:rsid w:val="388008B3"/>
    <w:rsid w:val="38A10829"/>
    <w:rsid w:val="38B8126E"/>
    <w:rsid w:val="38F848ED"/>
    <w:rsid w:val="39167469"/>
    <w:rsid w:val="3938118D"/>
    <w:rsid w:val="3982065B"/>
    <w:rsid w:val="3A4F2C33"/>
    <w:rsid w:val="3A5913BB"/>
    <w:rsid w:val="3A6366DE"/>
    <w:rsid w:val="3A695377"/>
    <w:rsid w:val="3AEC66D3"/>
    <w:rsid w:val="3B043A1D"/>
    <w:rsid w:val="3B06492D"/>
    <w:rsid w:val="3B2E0A9A"/>
    <w:rsid w:val="3B4200A1"/>
    <w:rsid w:val="3B497682"/>
    <w:rsid w:val="3B5953EB"/>
    <w:rsid w:val="3B9A7EDD"/>
    <w:rsid w:val="3BBD597A"/>
    <w:rsid w:val="3BC211E2"/>
    <w:rsid w:val="3BDF3B42"/>
    <w:rsid w:val="3C5938F5"/>
    <w:rsid w:val="3C5F4C83"/>
    <w:rsid w:val="3C7E335B"/>
    <w:rsid w:val="3D2E4D81"/>
    <w:rsid w:val="3D37175C"/>
    <w:rsid w:val="3D585888"/>
    <w:rsid w:val="3DCE3E6E"/>
    <w:rsid w:val="3E4D7489"/>
    <w:rsid w:val="3EC924E2"/>
    <w:rsid w:val="3EDDA921"/>
    <w:rsid w:val="3F5B5BD6"/>
    <w:rsid w:val="3F6F51DD"/>
    <w:rsid w:val="3F852C53"/>
    <w:rsid w:val="3FC03C8B"/>
    <w:rsid w:val="3FD37E62"/>
    <w:rsid w:val="3FE55F55"/>
    <w:rsid w:val="3FEFF588"/>
    <w:rsid w:val="410C362B"/>
    <w:rsid w:val="414A5675"/>
    <w:rsid w:val="41562AF9"/>
    <w:rsid w:val="41780CC1"/>
    <w:rsid w:val="41A43864"/>
    <w:rsid w:val="41C45CB4"/>
    <w:rsid w:val="420662CD"/>
    <w:rsid w:val="421309EA"/>
    <w:rsid w:val="42B27566"/>
    <w:rsid w:val="42C85330"/>
    <w:rsid w:val="42D33CD5"/>
    <w:rsid w:val="42D97547"/>
    <w:rsid w:val="42F44377"/>
    <w:rsid w:val="42F73E67"/>
    <w:rsid w:val="43770B04"/>
    <w:rsid w:val="438751EB"/>
    <w:rsid w:val="439D4A0F"/>
    <w:rsid w:val="439E0787"/>
    <w:rsid w:val="43C025C1"/>
    <w:rsid w:val="44124CF1"/>
    <w:rsid w:val="4427252A"/>
    <w:rsid w:val="444F55DD"/>
    <w:rsid w:val="447A00BE"/>
    <w:rsid w:val="447F6595"/>
    <w:rsid w:val="449432A7"/>
    <w:rsid w:val="44986F84"/>
    <w:rsid w:val="44C9538F"/>
    <w:rsid w:val="44FA19ED"/>
    <w:rsid w:val="45521829"/>
    <w:rsid w:val="456D6663"/>
    <w:rsid w:val="45965BB9"/>
    <w:rsid w:val="45C81AEB"/>
    <w:rsid w:val="45CD5056"/>
    <w:rsid w:val="460A3EB2"/>
    <w:rsid w:val="46177859"/>
    <w:rsid w:val="461B60BF"/>
    <w:rsid w:val="46250CEB"/>
    <w:rsid w:val="462A6302"/>
    <w:rsid w:val="465B2AF2"/>
    <w:rsid w:val="46A2071E"/>
    <w:rsid w:val="46AC5AA6"/>
    <w:rsid w:val="46D1677D"/>
    <w:rsid w:val="474A2FB5"/>
    <w:rsid w:val="47503B46"/>
    <w:rsid w:val="475278BE"/>
    <w:rsid w:val="475E2707"/>
    <w:rsid w:val="476D294A"/>
    <w:rsid w:val="47A619B8"/>
    <w:rsid w:val="47D227AD"/>
    <w:rsid w:val="47DE73A4"/>
    <w:rsid w:val="48147269"/>
    <w:rsid w:val="48743864"/>
    <w:rsid w:val="487E46E3"/>
    <w:rsid w:val="48A04659"/>
    <w:rsid w:val="48B325DE"/>
    <w:rsid w:val="49261002"/>
    <w:rsid w:val="499C12C5"/>
    <w:rsid w:val="49A563CB"/>
    <w:rsid w:val="49CD1DBF"/>
    <w:rsid w:val="4AF64A04"/>
    <w:rsid w:val="4B094F6E"/>
    <w:rsid w:val="4B1E132F"/>
    <w:rsid w:val="4B3F45FD"/>
    <w:rsid w:val="4B4734B2"/>
    <w:rsid w:val="4BB072A9"/>
    <w:rsid w:val="4C5639AD"/>
    <w:rsid w:val="4C6F2CC0"/>
    <w:rsid w:val="4D782049"/>
    <w:rsid w:val="4D994499"/>
    <w:rsid w:val="4DE17BEE"/>
    <w:rsid w:val="4DE35714"/>
    <w:rsid w:val="4DEE5E67"/>
    <w:rsid w:val="4E3F2D17"/>
    <w:rsid w:val="4E526753"/>
    <w:rsid w:val="4E7B3B9E"/>
    <w:rsid w:val="4F073684"/>
    <w:rsid w:val="4F2A45C8"/>
    <w:rsid w:val="4F351F9F"/>
    <w:rsid w:val="4F42290E"/>
    <w:rsid w:val="4F4E414A"/>
    <w:rsid w:val="4F844CD5"/>
    <w:rsid w:val="50722D7F"/>
    <w:rsid w:val="5073127E"/>
    <w:rsid w:val="510065DD"/>
    <w:rsid w:val="51870AAC"/>
    <w:rsid w:val="51E101BC"/>
    <w:rsid w:val="523540A6"/>
    <w:rsid w:val="527506DA"/>
    <w:rsid w:val="52AF2069"/>
    <w:rsid w:val="52E57838"/>
    <w:rsid w:val="52EA30A6"/>
    <w:rsid w:val="530F6FAB"/>
    <w:rsid w:val="531E0F9C"/>
    <w:rsid w:val="53214D6E"/>
    <w:rsid w:val="5330338D"/>
    <w:rsid w:val="535B0105"/>
    <w:rsid w:val="543211F5"/>
    <w:rsid w:val="54436F0C"/>
    <w:rsid w:val="548E1678"/>
    <w:rsid w:val="54921BC0"/>
    <w:rsid w:val="54A656ED"/>
    <w:rsid w:val="558570B1"/>
    <w:rsid w:val="55894DF3"/>
    <w:rsid w:val="55CE76F0"/>
    <w:rsid w:val="562F7AA7"/>
    <w:rsid w:val="5637484F"/>
    <w:rsid w:val="564B4B24"/>
    <w:rsid w:val="56717635"/>
    <w:rsid w:val="56903F5F"/>
    <w:rsid w:val="56A874FB"/>
    <w:rsid w:val="56BA0FDC"/>
    <w:rsid w:val="575925A3"/>
    <w:rsid w:val="577E025B"/>
    <w:rsid w:val="578A6C00"/>
    <w:rsid w:val="57A46AB4"/>
    <w:rsid w:val="57B819BF"/>
    <w:rsid w:val="57DE484E"/>
    <w:rsid w:val="57F14ED1"/>
    <w:rsid w:val="57FB18AC"/>
    <w:rsid w:val="5818245E"/>
    <w:rsid w:val="583152CE"/>
    <w:rsid w:val="586B07E0"/>
    <w:rsid w:val="58B13598"/>
    <w:rsid w:val="58B71C77"/>
    <w:rsid w:val="58D00F8B"/>
    <w:rsid w:val="59653481"/>
    <w:rsid w:val="59690E37"/>
    <w:rsid w:val="59814033"/>
    <w:rsid w:val="598A2EE8"/>
    <w:rsid w:val="59EA1BD8"/>
    <w:rsid w:val="5A160C1F"/>
    <w:rsid w:val="5A1B2694"/>
    <w:rsid w:val="5A4E0416"/>
    <w:rsid w:val="5A9A53AC"/>
    <w:rsid w:val="5BA041F4"/>
    <w:rsid w:val="5BA949C7"/>
    <w:rsid w:val="5C164F06"/>
    <w:rsid w:val="5C806824"/>
    <w:rsid w:val="5CB87D6C"/>
    <w:rsid w:val="5CCD7CBB"/>
    <w:rsid w:val="5CFD1B08"/>
    <w:rsid w:val="5D015BB7"/>
    <w:rsid w:val="5D79574D"/>
    <w:rsid w:val="5D8D744A"/>
    <w:rsid w:val="5DA6050C"/>
    <w:rsid w:val="5DD230AF"/>
    <w:rsid w:val="5E59557E"/>
    <w:rsid w:val="5EB56C59"/>
    <w:rsid w:val="5F2F53DB"/>
    <w:rsid w:val="5F522506"/>
    <w:rsid w:val="5F5C0E82"/>
    <w:rsid w:val="5FC1162D"/>
    <w:rsid w:val="5FF1460C"/>
    <w:rsid w:val="60665EB8"/>
    <w:rsid w:val="606A75CF"/>
    <w:rsid w:val="615755BD"/>
    <w:rsid w:val="61D5316E"/>
    <w:rsid w:val="61D76EE6"/>
    <w:rsid w:val="61ED495B"/>
    <w:rsid w:val="624A36A7"/>
    <w:rsid w:val="62514EEA"/>
    <w:rsid w:val="626D784A"/>
    <w:rsid w:val="62990763"/>
    <w:rsid w:val="62A96AD4"/>
    <w:rsid w:val="62FF1C15"/>
    <w:rsid w:val="631877B6"/>
    <w:rsid w:val="632B573B"/>
    <w:rsid w:val="63584057"/>
    <w:rsid w:val="63691DC0"/>
    <w:rsid w:val="637F5A87"/>
    <w:rsid w:val="64177A6E"/>
    <w:rsid w:val="64772947"/>
    <w:rsid w:val="648A663F"/>
    <w:rsid w:val="64A21A2D"/>
    <w:rsid w:val="64ED07CF"/>
    <w:rsid w:val="65242442"/>
    <w:rsid w:val="653A7EB8"/>
    <w:rsid w:val="65A73073"/>
    <w:rsid w:val="65C854C3"/>
    <w:rsid w:val="664704A5"/>
    <w:rsid w:val="665A1E94"/>
    <w:rsid w:val="66A743CB"/>
    <w:rsid w:val="670C13E0"/>
    <w:rsid w:val="672A7AB8"/>
    <w:rsid w:val="674C3ED2"/>
    <w:rsid w:val="6787315C"/>
    <w:rsid w:val="68012F0F"/>
    <w:rsid w:val="68270D00"/>
    <w:rsid w:val="683D78D6"/>
    <w:rsid w:val="684150B9"/>
    <w:rsid w:val="68914293"/>
    <w:rsid w:val="68A32B3C"/>
    <w:rsid w:val="68B0223F"/>
    <w:rsid w:val="68CA77A4"/>
    <w:rsid w:val="68CB0E27"/>
    <w:rsid w:val="68F424EA"/>
    <w:rsid w:val="69320EA6"/>
    <w:rsid w:val="699658D9"/>
    <w:rsid w:val="69A95A32"/>
    <w:rsid w:val="69AC58CF"/>
    <w:rsid w:val="6A0A1C58"/>
    <w:rsid w:val="6A3550F2"/>
    <w:rsid w:val="6A5262E8"/>
    <w:rsid w:val="6A68070F"/>
    <w:rsid w:val="6A946571"/>
    <w:rsid w:val="6AE508C6"/>
    <w:rsid w:val="6B105217"/>
    <w:rsid w:val="6BCA3618"/>
    <w:rsid w:val="6BCC7390"/>
    <w:rsid w:val="6BDE618B"/>
    <w:rsid w:val="6BE6B989"/>
    <w:rsid w:val="6BFF59B7"/>
    <w:rsid w:val="6C1B20C5"/>
    <w:rsid w:val="6C270A6A"/>
    <w:rsid w:val="6C7C7008"/>
    <w:rsid w:val="6CEB5F3B"/>
    <w:rsid w:val="6CFD6B3C"/>
    <w:rsid w:val="6D154D66"/>
    <w:rsid w:val="6D5B5E5E"/>
    <w:rsid w:val="6D8A187F"/>
    <w:rsid w:val="6E0F17B6"/>
    <w:rsid w:val="6E46167B"/>
    <w:rsid w:val="6E82467D"/>
    <w:rsid w:val="6ECC76A7"/>
    <w:rsid w:val="6F045092"/>
    <w:rsid w:val="6F0B7431"/>
    <w:rsid w:val="6F541B76"/>
    <w:rsid w:val="6F775864"/>
    <w:rsid w:val="6F92269E"/>
    <w:rsid w:val="6F9C5A16"/>
    <w:rsid w:val="6FB44B5A"/>
    <w:rsid w:val="6FB940CF"/>
    <w:rsid w:val="6FF2313D"/>
    <w:rsid w:val="70052E70"/>
    <w:rsid w:val="70205EFC"/>
    <w:rsid w:val="702F613F"/>
    <w:rsid w:val="703E6382"/>
    <w:rsid w:val="70427B87"/>
    <w:rsid w:val="70433998"/>
    <w:rsid w:val="705B6F34"/>
    <w:rsid w:val="70AD6993"/>
    <w:rsid w:val="70D80585"/>
    <w:rsid w:val="70D94A29"/>
    <w:rsid w:val="70E1568B"/>
    <w:rsid w:val="712403FA"/>
    <w:rsid w:val="713C0B14"/>
    <w:rsid w:val="716167CC"/>
    <w:rsid w:val="719E7794"/>
    <w:rsid w:val="71E00465"/>
    <w:rsid w:val="72704A08"/>
    <w:rsid w:val="72A9042B"/>
    <w:rsid w:val="72D27981"/>
    <w:rsid w:val="72DE3C1A"/>
    <w:rsid w:val="72ED1754"/>
    <w:rsid w:val="7346211D"/>
    <w:rsid w:val="736305DA"/>
    <w:rsid w:val="736E6F7E"/>
    <w:rsid w:val="73AA26AC"/>
    <w:rsid w:val="73CF2113"/>
    <w:rsid w:val="73F97190"/>
    <w:rsid w:val="73FC0A2E"/>
    <w:rsid w:val="74147B26"/>
    <w:rsid w:val="7469128F"/>
    <w:rsid w:val="747607E0"/>
    <w:rsid w:val="74A013B9"/>
    <w:rsid w:val="74A25132"/>
    <w:rsid w:val="74BA06CD"/>
    <w:rsid w:val="74D116DC"/>
    <w:rsid w:val="74E25E76"/>
    <w:rsid w:val="75114065"/>
    <w:rsid w:val="75954C96"/>
    <w:rsid w:val="75A38350"/>
    <w:rsid w:val="75E023B5"/>
    <w:rsid w:val="75E874BC"/>
    <w:rsid w:val="76703C4B"/>
    <w:rsid w:val="767825EE"/>
    <w:rsid w:val="76B4789F"/>
    <w:rsid w:val="76BD26F7"/>
    <w:rsid w:val="76F63F8E"/>
    <w:rsid w:val="77230867"/>
    <w:rsid w:val="778B7B55"/>
    <w:rsid w:val="77AD4519"/>
    <w:rsid w:val="77B04009"/>
    <w:rsid w:val="782105C9"/>
    <w:rsid w:val="784C3D32"/>
    <w:rsid w:val="78540E39"/>
    <w:rsid w:val="7860333A"/>
    <w:rsid w:val="786F17CF"/>
    <w:rsid w:val="78BC25D4"/>
    <w:rsid w:val="78DB3308"/>
    <w:rsid w:val="78E201F2"/>
    <w:rsid w:val="792A3948"/>
    <w:rsid w:val="795F7A95"/>
    <w:rsid w:val="79D7587D"/>
    <w:rsid w:val="7A401675"/>
    <w:rsid w:val="7ABC4A73"/>
    <w:rsid w:val="7AE55D78"/>
    <w:rsid w:val="7B284B90"/>
    <w:rsid w:val="7B4E6013"/>
    <w:rsid w:val="7B6D2950"/>
    <w:rsid w:val="7BA16912"/>
    <w:rsid w:val="7BA63759"/>
    <w:rsid w:val="7C120DEF"/>
    <w:rsid w:val="7C815F74"/>
    <w:rsid w:val="7CB32E44"/>
    <w:rsid w:val="7D1E37C3"/>
    <w:rsid w:val="7D452958"/>
    <w:rsid w:val="7DB006C7"/>
    <w:rsid w:val="7DE14F1D"/>
    <w:rsid w:val="7DE345E2"/>
    <w:rsid w:val="7E2B263C"/>
    <w:rsid w:val="7E3037AE"/>
    <w:rsid w:val="7E4509F6"/>
    <w:rsid w:val="7E7933A7"/>
    <w:rsid w:val="7F231565"/>
    <w:rsid w:val="7F315A30"/>
    <w:rsid w:val="7F3379FA"/>
    <w:rsid w:val="7F437511"/>
    <w:rsid w:val="7F4A4D43"/>
    <w:rsid w:val="7F5636E8"/>
    <w:rsid w:val="7F594F87"/>
    <w:rsid w:val="7FBA7CAC"/>
    <w:rsid w:val="7FDF11B0"/>
    <w:rsid w:val="7FEC5DFB"/>
    <w:rsid w:val="CDC72BBE"/>
    <w:rsid w:val="D6DB6888"/>
    <w:rsid w:val="DED9709B"/>
    <w:rsid w:val="FB77D79C"/>
    <w:rsid w:val="FF7EEA3B"/>
    <w:rsid w:val="FFF9B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3">
    <w:name w:val="Normal Indent"/>
    <w:basedOn w:val="1"/>
    <w:qFormat/>
    <w:uiPriority w:val="99"/>
    <w:pPr>
      <w:ind w:firstLine="420"/>
    </w:pPr>
    <w:rPr>
      <w:sz w:val="21"/>
    </w:r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0">
    <w:name w:val="Title"/>
    <w:basedOn w:val="1"/>
    <w:next w:val="1"/>
    <w:qFormat/>
    <w:uiPriority w:val="10"/>
    <w:pPr>
      <w:spacing w:before="50" w:beforeLines="50" w:after="50" w:afterLines="50"/>
      <w:jc w:val="center"/>
    </w:pPr>
    <w:rPr>
      <w:rFonts w:eastAsia="黑体" w:cs="Arial"/>
      <w:bCs/>
      <w:szCs w:val="32"/>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font31"/>
    <w:basedOn w:val="13"/>
    <w:qFormat/>
    <w:uiPriority w:val="0"/>
    <w:rPr>
      <w:rFonts w:hint="eastAsia" w:ascii="宋体" w:hAnsi="宋体" w:eastAsia="宋体" w:cs="宋体"/>
      <w:color w:val="000000"/>
      <w:sz w:val="20"/>
      <w:szCs w:val="20"/>
      <w:u w:val="none"/>
    </w:rPr>
  </w:style>
  <w:style w:type="character" w:customStyle="1" w:styleId="15">
    <w:name w:val="font41"/>
    <w:basedOn w:val="13"/>
    <w:qFormat/>
    <w:uiPriority w:val="0"/>
    <w:rPr>
      <w:rFonts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TotalTime>
  <ScaleCrop>false</ScaleCrop>
  <LinksUpToDate>false</LinksUpToDate>
  <CharactersWithSpaces>0</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2023-10-10T13:40:00Z</dcterms:created>
  <dc:creator>肖月</dc:creator>
  <cp:lastModifiedBy>user</cp:lastModifiedBy>
  <dcterms:modified xsi:type="dcterms:W3CDTF">2024-03-28T14:57:25Z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BE5BA6BD55811AF15B016865EADE572B_43</vt:lpwstr>
  </property>
</Properties>
</file>