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年基金预算中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上级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财政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对县区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转移支出情况说明</w:t>
      </w:r>
    </w:p>
    <w:p>
      <w:pPr>
        <w:ind w:firstLine="880" w:firstLineChars="200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年上级财政对县区转移性支出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大中型水库移民后期扶持基金支出补助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大中型水库库区基金安排的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社会福利的彩票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</w:rPr>
        <w:t>益金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highlight w:val="yellow"/>
        </w:rPr>
      </w:pPr>
    </w:p>
    <w:p>
      <w:pPr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09D2E08"/>
    <w:rsid w:val="58C600C8"/>
    <w:rsid w:val="68853B97"/>
    <w:rsid w:val="75B26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Benxi Financial Bureau</Company>
  <Pages>2</Pages>
  <Words>117</Words>
  <Characters>669</Characters>
  <Lines>5</Lines>
  <Paragraphs>1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2016-12-21T04:22:00Z</dcterms:created>
  <dc:creator>CL</dc:creator>
  <cp:lastModifiedBy>admin</cp:lastModifiedBy>
  <cp:lastPrinted>2016-12-21T05:45:00Z</cp:lastPrinted>
  <dcterms:modified xsi:type="dcterms:W3CDTF">2021-02-18T08:40:11Z</dcterms:modified>
  <dc:title>基层公检法司转移支付300支出主要用于县区政法系统的相关建设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