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35D" w:rsidRDefault="003A435D" w:rsidP="00945255">
      <w:pPr>
        <w:jc w:val="center"/>
        <w:rPr>
          <w:rFonts w:ascii="华文中宋" w:eastAsia="华文中宋" w:hAnsi="华文中宋"/>
          <w:sz w:val="44"/>
          <w:szCs w:val="44"/>
        </w:rPr>
      </w:pPr>
      <w:bookmarkStart w:id="0" w:name="sendSubject"/>
    </w:p>
    <w:bookmarkEnd w:id="0"/>
    <w:p w:rsidR="00654C19" w:rsidRDefault="00654C19" w:rsidP="00654C19">
      <w:pPr>
        <w:jc w:val="center"/>
        <w:rPr>
          <w:rFonts w:ascii="方正小标宋简体" w:eastAsia="方正小标宋简体" w:hAnsi="华文中宋"/>
          <w:sz w:val="44"/>
          <w:szCs w:val="44"/>
        </w:rPr>
      </w:pPr>
      <w:r w:rsidRPr="00DD7731">
        <w:rPr>
          <w:rFonts w:ascii="方正小标宋简体" w:eastAsia="方正小标宋简体" w:hAnsi="华文中宋" w:hint="eastAsia"/>
          <w:sz w:val="44"/>
          <w:szCs w:val="44"/>
        </w:rPr>
        <w:t>国债承销团组建工作管理办法</w:t>
      </w:r>
    </w:p>
    <w:p w:rsidR="009317E2" w:rsidRPr="009317E2" w:rsidRDefault="009317E2" w:rsidP="00654C19">
      <w:pPr>
        <w:jc w:val="center"/>
        <w:rPr>
          <w:rFonts w:ascii="方正小标宋简体" w:eastAsia="方正小标宋简体" w:hAnsi="华文中宋"/>
          <w:sz w:val="28"/>
          <w:szCs w:val="28"/>
        </w:rPr>
      </w:pPr>
    </w:p>
    <w:p w:rsidR="00654C19" w:rsidRPr="00774D5F" w:rsidRDefault="00654C19" w:rsidP="002F4343">
      <w:pPr>
        <w:numPr>
          <w:ilvl w:val="0"/>
          <w:numId w:val="1"/>
        </w:numPr>
        <w:spacing w:beforeLines="50" w:afterLines="50"/>
        <w:ind w:left="1077" w:hanging="1077"/>
        <w:jc w:val="center"/>
        <w:rPr>
          <w:rFonts w:ascii="仿宋_GB2312" w:eastAsia="仿宋_GB2312" w:hAnsi="仿宋"/>
          <w:b/>
          <w:sz w:val="32"/>
          <w:szCs w:val="32"/>
        </w:rPr>
      </w:pPr>
      <w:r w:rsidRPr="00774D5F">
        <w:rPr>
          <w:rFonts w:ascii="仿宋_GB2312" w:eastAsia="仿宋_GB2312" w:hAnsi="仿宋" w:hint="eastAsia"/>
          <w:b/>
          <w:sz w:val="32"/>
          <w:szCs w:val="32"/>
        </w:rPr>
        <w:t>总则</w:t>
      </w:r>
    </w:p>
    <w:p w:rsidR="00654C19" w:rsidRPr="00774D5F" w:rsidRDefault="00654C19" w:rsidP="00654C19">
      <w:pPr>
        <w:adjustRightInd w:val="0"/>
        <w:snapToGrid w:val="0"/>
        <w:spacing w:line="360" w:lineRule="auto"/>
        <w:ind w:firstLineChars="200" w:firstLine="602"/>
        <w:rPr>
          <w:rFonts w:ascii="仿宋_GB2312" w:eastAsia="仿宋_GB2312" w:hAnsi="Calibri"/>
          <w:sz w:val="30"/>
          <w:szCs w:val="30"/>
        </w:rPr>
      </w:pPr>
      <w:r w:rsidRPr="00774D5F">
        <w:rPr>
          <w:rFonts w:ascii="仿宋_GB2312" w:eastAsia="仿宋_GB2312" w:hAnsi="Calibri" w:hint="eastAsia"/>
          <w:b/>
          <w:sz w:val="30"/>
          <w:szCs w:val="30"/>
        </w:rPr>
        <w:t>第一条</w:t>
      </w:r>
      <w:r w:rsidR="002F4343" w:rsidRPr="00774D5F">
        <w:rPr>
          <w:rFonts w:ascii="仿宋_GB2312" w:eastAsia="仿宋_GB2312" w:hAnsi="Calibri" w:hint="eastAsia"/>
          <w:sz w:val="30"/>
          <w:szCs w:val="30"/>
        </w:rPr>
        <w:t xml:space="preserve">　</w:t>
      </w:r>
      <w:r w:rsidRPr="00774D5F">
        <w:rPr>
          <w:rFonts w:ascii="仿宋_GB2312" w:eastAsia="仿宋_GB2312" w:hAnsi="Calibri" w:hint="eastAsia"/>
          <w:sz w:val="30"/>
          <w:szCs w:val="30"/>
        </w:rPr>
        <w:t>为</w:t>
      </w:r>
      <w:r>
        <w:rPr>
          <w:rFonts w:ascii="仿宋_GB2312" w:eastAsia="仿宋_GB2312" w:hAnsi="Calibri" w:hint="eastAsia"/>
          <w:sz w:val="30"/>
          <w:szCs w:val="30"/>
        </w:rPr>
        <w:t>了</w:t>
      </w:r>
      <w:r w:rsidRPr="00774D5F">
        <w:rPr>
          <w:rFonts w:ascii="仿宋_GB2312" w:eastAsia="仿宋_GB2312" w:hAnsi="Calibri" w:hint="eastAsia"/>
          <w:sz w:val="30"/>
          <w:szCs w:val="30"/>
        </w:rPr>
        <w:t>规范国债承销团组建工作，</w:t>
      </w:r>
      <w:r>
        <w:rPr>
          <w:rFonts w:ascii="仿宋_GB2312" w:eastAsia="仿宋_GB2312" w:hAnsi="Calibri" w:hint="eastAsia"/>
          <w:sz w:val="30"/>
          <w:szCs w:val="30"/>
        </w:rPr>
        <w:t>保障</w:t>
      </w:r>
      <w:r w:rsidRPr="00774D5F">
        <w:rPr>
          <w:rFonts w:ascii="仿宋_GB2312" w:eastAsia="仿宋_GB2312" w:hAnsi="Calibri" w:hint="eastAsia"/>
          <w:sz w:val="30"/>
          <w:szCs w:val="30"/>
        </w:rPr>
        <w:t>国债顺利发行和</w:t>
      </w:r>
      <w:r>
        <w:rPr>
          <w:rFonts w:ascii="仿宋_GB2312" w:eastAsia="仿宋_GB2312" w:hAnsi="Calibri" w:hint="eastAsia"/>
          <w:sz w:val="30"/>
          <w:szCs w:val="30"/>
        </w:rPr>
        <w:t>国债</w:t>
      </w:r>
      <w:r w:rsidRPr="00774D5F">
        <w:rPr>
          <w:rFonts w:ascii="仿宋_GB2312" w:eastAsia="仿宋_GB2312" w:hAnsi="Calibri" w:hint="eastAsia"/>
          <w:sz w:val="30"/>
          <w:szCs w:val="30"/>
        </w:rPr>
        <w:t>市场稳定发展，制定本办法。</w:t>
      </w:r>
    </w:p>
    <w:p w:rsidR="00654C19" w:rsidRPr="00774D5F" w:rsidRDefault="00654C19" w:rsidP="00654C19">
      <w:pPr>
        <w:adjustRightInd w:val="0"/>
        <w:snapToGrid w:val="0"/>
        <w:spacing w:line="360" w:lineRule="auto"/>
        <w:ind w:firstLineChars="200" w:firstLine="602"/>
        <w:rPr>
          <w:rFonts w:ascii="仿宋_GB2312" w:eastAsia="仿宋_GB2312" w:hAnsi="Calibri"/>
          <w:sz w:val="30"/>
          <w:szCs w:val="30"/>
        </w:rPr>
      </w:pPr>
      <w:r w:rsidRPr="00774D5F">
        <w:rPr>
          <w:rFonts w:ascii="仿宋_GB2312" w:eastAsia="仿宋_GB2312" w:hAnsi="Calibri" w:hint="eastAsia"/>
          <w:b/>
          <w:sz w:val="30"/>
          <w:szCs w:val="30"/>
        </w:rPr>
        <w:t>第二条</w:t>
      </w:r>
      <w:r w:rsidR="002F4343" w:rsidRPr="00774D5F">
        <w:rPr>
          <w:rFonts w:ascii="仿宋_GB2312" w:eastAsia="仿宋_GB2312" w:hAnsi="Calibri" w:hint="eastAsia"/>
          <w:sz w:val="30"/>
          <w:szCs w:val="30"/>
        </w:rPr>
        <w:t xml:space="preserve">　</w:t>
      </w:r>
      <w:r w:rsidRPr="00774D5F">
        <w:rPr>
          <w:rFonts w:ascii="仿宋_GB2312" w:eastAsia="仿宋_GB2312" w:hAnsi="Calibri" w:hint="eastAsia"/>
          <w:sz w:val="30"/>
          <w:szCs w:val="30"/>
        </w:rPr>
        <w:t>国债承销团按照国债品种组建，包括储蓄国债承销团和记账式国债承销团。</w:t>
      </w:r>
    </w:p>
    <w:p w:rsidR="00654C19" w:rsidRPr="00774D5F" w:rsidRDefault="00654C19" w:rsidP="00654C19">
      <w:pPr>
        <w:adjustRightInd w:val="0"/>
        <w:snapToGrid w:val="0"/>
        <w:spacing w:line="360" w:lineRule="auto"/>
        <w:ind w:firstLineChars="200" w:firstLine="602"/>
        <w:rPr>
          <w:rFonts w:ascii="仿宋_GB2312" w:eastAsia="仿宋_GB2312" w:hAnsi="Calibri"/>
          <w:sz w:val="30"/>
          <w:szCs w:val="30"/>
        </w:rPr>
      </w:pPr>
      <w:r w:rsidRPr="00774D5F">
        <w:rPr>
          <w:rFonts w:ascii="仿宋_GB2312" w:eastAsia="仿宋_GB2312" w:hAnsi="Calibri" w:hint="eastAsia"/>
          <w:b/>
          <w:sz w:val="30"/>
          <w:szCs w:val="30"/>
        </w:rPr>
        <w:t>第三条</w:t>
      </w:r>
      <w:r w:rsidRPr="00774D5F">
        <w:rPr>
          <w:rFonts w:ascii="仿宋_GB2312" w:eastAsia="仿宋_GB2312" w:hAnsi="Calibri" w:hint="eastAsia"/>
          <w:sz w:val="30"/>
          <w:szCs w:val="30"/>
        </w:rPr>
        <w:t xml:space="preserve">  国债承销团组建应当遵循公开、公平、公正的市场化原则。</w:t>
      </w:r>
    </w:p>
    <w:p w:rsidR="00654C19" w:rsidRPr="00774D5F" w:rsidRDefault="00654C19" w:rsidP="00654C19">
      <w:pPr>
        <w:adjustRightInd w:val="0"/>
        <w:snapToGrid w:val="0"/>
        <w:spacing w:line="360" w:lineRule="auto"/>
        <w:ind w:firstLineChars="200" w:firstLine="602"/>
        <w:rPr>
          <w:rFonts w:ascii="仿宋_GB2312" w:eastAsia="仿宋_GB2312" w:hAnsi="Calibri"/>
          <w:sz w:val="30"/>
          <w:szCs w:val="30"/>
        </w:rPr>
      </w:pPr>
      <w:r w:rsidRPr="00774D5F">
        <w:rPr>
          <w:rFonts w:ascii="仿宋_GB2312" w:eastAsia="仿宋_GB2312" w:hAnsi="Calibri" w:hint="eastAsia"/>
          <w:b/>
          <w:sz w:val="30"/>
          <w:szCs w:val="30"/>
        </w:rPr>
        <w:t>第四条</w:t>
      </w:r>
      <w:r w:rsidRPr="00774D5F">
        <w:rPr>
          <w:rFonts w:ascii="仿宋_GB2312" w:eastAsia="仿宋_GB2312" w:hAnsi="Calibri" w:hint="eastAsia"/>
          <w:sz w:val="30"/>
          <w:szCs w:val="30"/>
        </w:rPr>
        <w:t xml:space="preserve">  财政部会同人民银行负责储蓄国债承销团组建工作，会同人民银行、证监会负责记账式国债承销团组建工作。</w:t>
      </w:r>
    </w:p>
    <w:p w:rsidR="00654C19" w:rsidRPr="00774D5F" w:rsidRDefault="00654C19" w:rsidP="00654C19">
      <w:pPr>
        <w:adjustRightInd w:val="0"/>
        <w:snapToGrid w:val="0"/>
        <w:spacing w:line="360" w:lineRule="auto"/>
        <w:ind w:firstLineChars="200" w:firstLine="602"/>
        <w:rPr>
          <w:rFonts w:ascii="仿宋_GB2312" w:eastAsia="仿宋_GB2312" w:hAnsi="Calibri"/>
          <w:sz w:val="30"/>
          <w:szCs w:val="30"/>
        </w:rPr>
      </w:pPr>
      <w:r w:rsidRPr="00774D5F">
        <w:rPr>
          <w:rFonts w:ascii="仿宋_GB2312" w:eastAsia="仿宋_GB2312" w:hAnsi="Calibri" w:hint="eastAsia"/>
          <w:b/>
          <w:sz w:val="30"/>
          <w:szCs w:val="30"/>
        </w:rPr>
        <w:t>第五条</w:t>
      </w:r>
      <w:r w:rsidRPr="00774D5F">
        <w:rPr>
          <w:rFonts w:ascii="仿宋_GB2312" w:eastAsia="仿宋_GB2312" w:hAnsi="Calibri" w:hint="eastAsia"/>
          <w:sz w:val="30"/>
          <w:szCs w:val="30"/>
        </w:rPr>
        <w:t xml:space="preserve">　财政部会同有关部门根据市场环境和国债发行任务等，确定国债承销团成员的目标数量。</w:t>
      </w:r>
    </w:p>
    <w:p w:rsidR="00654C19" w:rsidRPr="00774D5F" w:rsidRDefault="00654C19" w:rsidP="002F4343">
      <w:pPr>
        <w:spacing w:beforeLines="50" w:afterLines="50"/>
        <w:jc w:val="center"/>
        <w:rPr>
          <w:rFonts w:ascii="仿宋" w:eastAsia="仿宋" w:hAnsi="仿宋"/>
          <w:b/>
          <w:sz w:val="32"/>
          <w:szCs w:val="32"/>
        </w:rPr>
      </w:pPr>
      <w:r w:rsidRPr="00774D5F">
        <w:rPr>
          <w:rFonts w:ascii="仿宋_GB2312" w:eastAsia="仿宋_GB2312" w:hAnsi="仿宋" w:hint="eastAsia"/>
          <w:b/>
          <w:sz w:val="32"/>
          <w:szCs w:val="32"/>
        </w:rPr>
        <w:t>第二章 前期准备</w:t>
      </w:r>
    </w:p>
    <w:p w:rsidR="00654C19" w:rsidRPr="00774D5F" w:rsidRDefault="00654C19" w:rsidP="00654C19">
      <w:pPr>
        <w:adjustRightInd w:val="0"/>
        <w:snapToGrid w:val="0"/>
        <w:spacing w:line="360" w:lineRule="auto"/>
        <w:ind w:firstLineChars="200" w:firstLine="602"/>
        <w:rPr>
          <w:rFonts w:ascii="仿宋_GB2312" w:eastAsia="仿宋_GB2312" w:hAnsi="Calibri"/>
          <w:sz w:val="30"/>
          <w:szCs w:val="30"/>
        </w:rPr>
      </w:pPr>
      <w:r w:rsidRPr="00774D5F">
        <w:rPr>
          <w:rFonts w:ascii="仿宋_GB2312" w:eastAsia="仿宋_GB2312" w:hAnsi="Calibri" w:hint="eastAsia"/>
          <w:b/>
          <w:sz w:val="30"/>
          <w:szCs w:val="30"/>
        </w:rPr>
        <w:t>第六条</w:t>
      </w:r>
      <w:r w:rsidRPr="00774D5F">
        <w:rPr>
          <w:rFonts w:ascii="仿宋_GB2312" w:eastAsia="仿宋_GB2312" w:hAnsi="Calibri" w:hint="eastAsia"/>
          <w:sz w:val="30"/>
          <w:szCs w:val="30"/>
        </w:rPr>
        <w:t xml:space="preserve">　财政部应当会同有关部门提前公布国债承销团组建通知（以下简称组团通知）和国债承销主协议范本。</w:t>
      </w:r>
    </w:p>
    <w:p w:rsidR="00654C19" w:rsidRPr="00774D5F" w:rsidRDefault="00654C19" w:rsidP="00654C19">
      <w:pPr>
        <w:adjustRightInd w:val="0"/>
        <w:snapToGrid w:val="0"/>
        <w:spacing w:line="360" w:lineRule="auto"/>
        <w:ind w:firstLineChars="200" w:firstLine="600"/>
        <w:rPr>
          <w:rFonts w:ascii="仿宋_GB2312" w:eastAsia="仿宋_GB2312" w:hAnsi="Calibri"/>
          <w:sz w:val="30"/>
          <w:szCs w:val="30"/>
        </w:rPr>
      </w:pPr>
      <w:r w:rsidRPr="00774D5F">
        <w:rPr>
          <w:rFonts w:ascii="仿宋_GB2312" w:eastAsia="仿宋_GB2312" w:hAnsi="Calibri" w:hint="eastAsia"/>
          <w:sz w:val="30"/>
          <w:szCs w:val="30"/>
        </w:rPr>
        <w:t>组团通知应当包括成员目标数量、报名要求、</w:t>
      </w:r>
      <w:r w:rsidRPr="003B5E83">
        <w:rPr>
          <w:rFonts w:ascii="仿宋_GB2312" w:eastAsia="仿宋_GB2312" w:hAnsi="Calibri" w:hint="eastAsia"/>
          <w:sz w:val="30"/>
          <w:szCs w:val="30"/>
        </w:rPr>
        <w:t>上一届国债承销团成员综合排名</w:t>
      </w:r>
      <w:r w:rsidRPr="00774D5F">
        <w:rPr>
          <w:rFonts w:ascii="仿宋_GB2312" w:eastAsia="仿宋_GB2312" w:hAnsi="Calibri" w:hint="eastAsia"/>
          <w:sz w:val="30"/>
          <w:szCs w:val="30"/>
        </w:rPr>
        <w:t>等内容，不晚于报名截止日前</w:t>
      </w:r>
      <w:r w:rsidR="00573B41">
        <w:rPr>
          <w:rFonts w:ascii="仿宋_GB2312" w:eastAsia="仿宋_GB2312" w:hAnsi="Calibri" w:hint="eastAsia"/>
          <w:sz w:val="30"/>
          <w:szCs w:val="30"/>
        </w:rPr>
        <w:t>15</w:t>
      </w:r>
      <w:r w:rsidRPr="00774D5F">
        <w:rPr>
          <w:rFonts w:ascii="仿宋_GB2312" w:eastAsia="仿宋_GB2312" w:hAnsi="Calibri" w:hint="eastAsia"/>
          <w:sz w:val="30"/>
          <w:szCs w:val="30"/>
        </w:rPr>
        <w:t>日（含）发布。</w:t>
      </w:r>
    </w:p>
    <w:p w:rsidR="00654C19" w:rsidRPr="00774D5F" w:rsidRDefault="00654C19" w:rsidP="00654C19">
      <w:pPr>
        <w:adjustRightInd w:val="0"/>
        <w:snapToGrid w:val="0"/>
        <w:spacing w:line="360" w:lineRule="auto"/>
        <w:ind w:firstLineChars="200" w:firstLine="600"/>
        <w:rPr>
          <w:rFonts w:ascii="仿宋_GB2312" w:eastAsia="仿宋_GB2312" w:hAnsi="Calibri"/>
          <w:sz w:val="30"/>
          <w:szCs w:val="30"/>
        </w:rPr>
      </w:pPr>
      <w:r w:rsidRPr="00774D5F">
        <w:rPr>
          <w:rFonts w:ascii="仿宋_GB2312" w:eastAsia="仿宋_GB2312" w:hAnsi="Calibri" w:hint="eastAsia"/>
          <w:sz w:val="30"/>
          <w:szCs w:val="30"/>
        </w:rPr>
        <w:t>国债承销主协议范本应当包括财政部和国债承销团成员双</w:t>
      </w:r>
      <w:r w:rsidRPr="00774D5F">
        <w:rPr>
          <w:rFonts w:ascii="仿宋_GB2312" w:eastAsia="仿宋_GB2312" w:hAnsi="Calibri" w:hint="eastAsia"/>
          <w:sz w:val="30"/>
          <w:szCs w:val="30"/>
        </w:rPr>
        <w:lastRenderedPageBreak/>
        <w:t>方的权利、义务等内容，与组团通知同时发布。</w:t>
      </w:r>
    </w:p>
    <w:p w:rsidR="00654C19" w:rsidRPr="00774D5F" w:rsidRDefault="00654C19" w:rsidP="00654C19">
      <w:pPr>
        <w:adjustRightInd w:val="0"/>
        <w:snapToGrid w:val="0"/>
        <w:spacing w:line="360" w:lineRule="auto"/>
        <w:ind w:firstLineChars="200" w:firstLine="602"/>
        <w:rPr>
          <w:rFonts w:ascii="仿宋_GB2312" w:eastAsia="仿宋_GB2312" w:hAnsi="Calibri"/>
          <w:sz w:val="30"/>
          <w:szCs w:val="30"/>
        </w:rPr>
      </w:pPr>
      <w:r w:rsidRPr="00774D5F">
        <w:rPr>
          <w:rFonts w:ascii="仿宋_GB2312" w:eastAsia="仿宋_GB2312" w:hAnsi="Calibri" w:hint="eastAsia"/>
          <w:b/>
          <w:sz w:val="30"/>
          <w:szCs w:val="30"/>
        </w:rPr>
        <w:t>第七条</w:t>
      </w:r>
      <w:r w:rsidRPr="00774D5F">
        <w:rPr>
          <w:rFonts w:ascii="仿宋_GB2312" w:eastAsia="仿宋_GB2312" w:hAnsi="Calibri" w:hint="eastAsia"/>
          <w:sz w:val="30"/>
          <w:szCs w:val="30"/>
        </w:rPr>
        <w:t xml:space="preserve">  在组团通知规定的报名截止日期前，</w:t>
      </w:r>
      <w:r>
        <w:rPr>
          <w:rFonts w:ascii="仿宋_GB2312" w:eastAsia="仿宋_GB2312" w:hAnsi="Calibri" w:hint="eastAsia"/>
          <w:sz w:val="30"/>
          <w:szCs w:val="30"/>
        </w:rPr>
        <w:t>财政部</w:t>
      </w:r>
      <w:r w:rsidRPr="00774D5F">
        <w:rPr>
          <w:rFonts w:ascii="仿宋_GB2312" w:eastAsia="仿宋_GB2312" w:hAnsi="Calibri" w:hint="eastAsia"/>
          <w:sz w:val="30"/>
          <w:szCs w:val="30"/>
        </w:rPr>
        <w:t>会同人民银行负责接收报名参加储蓄国债承销团的金融机构的书面报名材料；财政部负责接收报名参加记账式国债承销团的金融机构的书面报名材料。</w:t>
      </w:r>
    </w:p>
    <w:p w:rsidR="009317E2" w:rsidRDefault="00654C19" w:rsidP="009317E2">
      <w:pPr>
        <w:adjustRightInd w:val="0"/>
        <w:snapToGrid w:val="0"/>
        <w:spacing w:line="360" w:lineRule="auto"/>
        <w:ind w:firstLineChars="200" w:firstLine="602"/>
        <w:jc w:val="left"/>
        <w:rPr>
          <w:rFonts w:ascii="仿宋_GB2312" w:eastAsia="仿宋_GB2312" w:hAnsi="Calibri"/>
          <w:sz w:val="30"/>
          <w:szCs w:val="30"/>
        </w:rPr>
      </w:pPr>
      <w:r w:rsidRPr="00774D5F">
        <w:rPr>
          <w:rFonts w:ascii="仿宋_GB2312" w:eastAsia="仿宋_GB2312" w:hAnsi="Calibri" w:hint="eastAsia"/>
          <w:b/>
          <w:sz w:val="30"/>
          <w:szCs w:val="30"/>
        </w:rPr>
        <w:t xml:space="preserve">第八条  </w:t>
      </w:r>
      <w:r w:rsidRPr="00774D5F">
        <w:rPr>
          <w:rFonts w:ascii="仿宋_GB2312" w:eastAsia="仿宋_GB2312" w:hAnsi="Calibri" w:hint="eastAsia"/>
          <w:sz w:val="30"/>
          <w:szCs w:val="30"/>
        </w:rPr>
        <w:t>财政部应当就报名参加国债承销团的金融机构（以下简称报名机构）的重大经营活动</w:t>
      </w:r>
      <w:r>
        <w:rPr>
          <w:rFonts w:ascii="仿宋_GB2312" w:eastAsia="仿宋_GB2312" w:hAnsi="Calibri" w:hint="eastAsia"/>
          <w:sz w:val="30"/>
          <w:szCs w:val="30"/>
        </w:rPr>
        <w:t>情况</w:t>
      </w:r>
      <w:r w:rsidRPr="00774D5F">
        <w:rPr>
          <w:rFonts w:ascii="仿宋_GB2312" w:eastAsia="仿宋_GB2312" w:hAnsi="Calibri" w:hint="eastAsia"/>
          <w:sz w:val="30"/>
          <w:szCs w:val="30"/>
        </w:rPr>
        <w:t>、财务风险状况、金融市场表现、近3年内在经营活动中有无重大违法记录等事项，以及报名材料中</w:t>
      </w:r>
      <w:r>
        <w:rPr>
          <w:rFonts w:ascii="仿宋_GB2312" w:eastAsia="仿宋_GB2312" w:hAnsi="Calibri" w:hint="eastAsia"/>
          <w:sz w:val="30"/>
          <w:szCs w:val="30"/>
        </w:rPr>
        <w:t>的</w:t>
      </w:r>
      <w:r w:rsidRPr="00774D5F">
        <w:rPr>
          <w:rFonts w:ascii="仿宋_GB2312" w:eastAsia="仿宋_GB2312" w:hAnsi="Calibri" w:hint="eastAsia"/>
          <w:sz w:val="30"/>
          <w:szCs w:val="30"/>
        </w:rPr>
        <w:t>有关数据，征求</w:t>
      </w:r>
      <w:r>
        <w:rPr>
          <w:rFonts w:ascii="仿宋_GB2312" w:eastAsia="仿宋_GB2312" w:hAnsi="Calibri" w:hint="eastAsia"/>
          <w:sz w:val="30"/>
          <w:szCs w:val="30"/>
        </w:rPr>
        <w:t>人民银行、</w:t>
      </w:r>
      <w:r w:rsidRPr="00774D5F">
        <w:rPr>
          <w:rFonts w:ascii="仿宋_GB2312" w:eastAsia="仿宋_GB2312" w:hAnsi="Calibri" w:hint="eastAsia"/>
          <w:sz w:val="30"/>
          <w:szCs w:val="30"/>
        </w:rPr>
        <w:t>证监会、银保监会等部门意见。中央国债登记结算有限责任公司、中国证券登记结算有限责任公司、中国外汇交易中心、上海证券交易所、深圳证券交易所等债券托管、交易场所应当根据财政部需要提供有关业务数据。</w:t>
      </w:r>
      <w:r w:rsidR="00945255" w:rsidRPr="00945255">
        <w:rPr>
          <w:rFonts w:ascii="仿宋_GB2312" w:eastAsia="仿宋_GB2312" w:hAnsi="Calibri" w:hint="eastAsia"/>
          <w:sz w:val="30"/>
          <w:szCs w:val="30"/>
        </w:rPr>
        <w:t>中国国债协会应当向财政部提供行业自律情况。</w:t>
      </w:r>
    </w:p>
    <w:p w:rsidR="00654C19" w:rsidRPr="00774D5F" w:rsidRDefault="00654C19" w:rsidP="009317E2">
      <w:pPr>
        <w:adjustRightInd w:val="0"/>
        <w:snapToGrid w:val="0"/>
        <w:spacing w:line="360" w:lineRule="auto"/>
        <w:ind w:firstLineChars="200" w:firstLine="643"/>
        <w:jc w:val="center"/>
        <w:rPr>
          <w:rFonts w:ascii="仿宋" w:eastAsia="仿宋" w:hAnsi="仿宋"/>
          <w:b/>
          <w:sz w:val="32"/>
          <w:szCs w:val="32"/>
        </w:rPr>
      </w:pPr>
      <w:r w:rsidRPr="00774D5F">
        <w:rPr>
          <w:rFonts w:ascii="仿宋_GB2312" w:eastAsia="仿宋_GB2312" w:hAnsi="仿宋" w:hint="eastAsia"/>
          <w:b/>
          <w:sz w:val="32"/>
          <w:szCs w:val="32"/>
        </w:rPr>
        <w:t>第三章 选择方式</w:t>
      </w:r>
    </w:p>
    <w:p w:rsidR="00654C19" w:rsidRPr="00774D5F" w:rsidRDefault="00654C19" w:rsidP="00654C19">
      <w:pPr>
        <w:adjustRightInd w:val="0"/>
        <w:snapToGrid w:val="0"/>
        <w:spacing w:line="360" w:lineRule="auto"/>
        <w:ind w:firstLineChars="200" w:firstLine="602"/>
        <w:rPr>
          <w:rFonts w:ascii="仿宋_GB2312" w:eastAsia="仿宋_GB2312" w:hAnsi="Calibri"/>
          <w:sz w:val="30"/>
          <w:szCs w:val="30"/>
        </w:rPr>
      </w:pPr>
      <w:r w:rsidRPr="00774D5F">
        <w:rPr>
          <w:rFonts w:ascii="仿宋_GB2312" w:eastAsia="仿宋_GB2312" w:hAnsi="Calibri" w:hint="eastAsia"/>
          <w:b/>
          <w:sz w:val="30"/>
          <w:szCs w:val="30"/>
        </w:rPr>
        <w:t>第九条</w:t>
      </w:r>
      <w:r w:rsidRPr="00774D5F">
        <w:rPr>
          <w:rFonts w:ascii="仿宋_GB2312" w:eastAsia="仿宋_GB2312" w:hAnsi="Calibri" w:hint="eastAsia"/>
          <w:sz w:val="30"/>
          <w:szCs w:val="30"/>
        </w:rPr>
        <w:t xml:space="preserve">　财政部应当会同有关部门从具备下列基本条件的报名机构中选择国债承销团成员</w:t>
      </w:r>
      <w:r>
        <w:rPr>
          <w:rFonts w:ascii="仿宋_GB2312" w:eastAsia="仿宋_GB2312" w:hAnsi="Calibri" w:hint="eastAsia"/>
          <w:sz w:val="30"/>
          <w:szCs w:val="30"/>
        </w:rPr>
        <w:t>：</w:t>
      </w:r>
    </w:p>
    <w:p w:rsidR="00567079" w:rsidRPr="00774D5F" w:rsidRDefault="00567079" w:rsidP="00567079">
      <w:pPr>
        <w:adjustRightInd w:val="0"/>
        <w:snapToGrid w:val="0"/>
        <w:spacing w:line="360" w:lineRule="auto"/>
        <w:ind w:firstLineChars="200" w:firstLine="600"/>
        <w:rPr>
          <w:rFonts w:ascii="仿宋_GB2312" w:eastAsia="仿宋_GB2312" w:hAnsi="Calibri"/>
          <w:sz w:val="30"/>
          <w:szCs w:val="30"/>
        </w:rPr>
      </w:pPr>
      <w:r w:rsidRPr="00774D5F">
        <w:rPr>
          <w:rFonts w:ascii="仿宋_GB2312" w:eastAsia="仿宋_GB2312" w:hAnsi="Calibri" w:hint="eastAsia"/>
          <w:sz w:val="30"/>
          <w:szCs w:val="30"/>
        </w:rPr>
        <w:t>（一）在中国境内依法成立，经营范围包括债券承销。</w:t>
      </w:r>
      <w:r>
        <w:rPr>
          <w:rFonts w:ascii="仿宋_GB2312" w:eastAsia="仿宋_GB2312" w:hAnsi="Calibri" w:hint="eastAsia"/>
          <w:sz w:val="30"/>
          <w:szCs w:val="30"/>
        </w:rPr>
        <w:t>除外国银行分行外，其他报名机构均应具有独立法人资格;外国银行分行参与承销政府债券，应取得其总行对该事项的</w:t>
      </w:r>
      <w:r w:rsidR="001306E0">
        <w:rPr>
          <w:rFonts w:ascii="仿宋_GB2312" w:eastAsia="仿宋_GB2312" w:hAnsi="Calibri" w:hint="eastAsia"/>
          <w:sz w:val="30"/>
          <w:szCs w:val="30"/>
        </w:rPr>
        <w:t>书面</w:t>
      </w:r>
      <w:r>
        <w:rPr>
          <w:rFonts w:ascii="仿宋_GB2312" w:eastAsia="仿宋_GB2312" w:hAnsi="Calibri" w:hint="eastAsia"/>
          <w:sz w:val="30"/>
          <w:szCs w:val="30"/>
        </w:rPr>
        <w:t>授权。</w:t>
      </w:r>
    </w:p>
    <w:p w:rsidR="00654C19" w:rsidRPr="00774D5F" w:rsidRDefault="00654C19" w:rsidP="00654C19">
      <w:pPr>
        <w:adjustRightInd w:val="0"/>
        <w:snapToGrid w:val="0"/>
        <w:spacing w:line="360" w:lineRule="auto"/>
        <w:ind w:firstLineChars="200" w:firstLine="600"/>
        <w:rPr>
          <w:rFonts w:ascii="仿宋_GB2312" w:eastAsia="仿宋_GB2312" w:hAnsi="Calibri"/>
          <w:sz w:val="30"/>
          <w:szCs w:val="30"/>
        </w:rPr>
      </w:pPr>
      <w:r w:rsidRPr="00774D5F">
        <w:rPr>
          <w:rFonts w:ascii="仿宋_GB2312" w:eastAsia="仿宋_GB2312" w:hAnsi="Calibri" w:hint="eastAsia"/>
          <w:sz w:val="30"/>
          <w:szCs w:val="30"/>
        </w:rPr>
        <w:t>（二）财务稳健，资本充足率、偿付能力或者净资本状况等方面指标达到监管标准，</w:t>
      </w:r>
      <w:r w:rsidR="00945255" w:rsidRPr="00945255">
        <w:rPr>
          <w:rFonts w:ascii="仿宋_GB2312" w:eastAsia="仿宋_GB2312" w:hAnsi="Calibri" w:hint="eastAsia"/>
          <w:sz w:val="30"/>
          <w:szCs w:val="30"/>
        </w:rPr>
        <w:t>治理结构较为健全，内控机制较为完善，</w:t>
      </w:r>
      <w:r w:rsidRPr="00774D5F">
        <w:rPr>
          <w:rFonts w:ascii="仿宋_GB2312" w:eastAsia="仿宋_GB2312" w:hAnsi="Calibri" w:hint="eastAsia"/>
          <w:sz w:val="30"/>
          <w:szCs w:val="30"/>
        </w:rPr>
        <w:t>具有较强的风险防控能力。</w:t>
      </w:r>
    </w:p>
    <w:p w:rsidR="00654C19" w:rsidRPr="00774D5F" w:rsidRDefault="00654C19" w:rsidP="00654C19">
      <w:pPr>
        <w:adjustRightInd w:val="0"/>
        <w:snapToGrid w:val="0"/>
        <w:spacing w:line="360" w:lineRule="auto"/>
        <w:ind w:firstLineChars="200" w:firstLine="600"/>
        <w:rPr>
          <w:rFonts w:ascii="仿宋_GB2312" w:eastAsia="仿宋_GB2312" w:hAnsi="Calibri"/>
          <w:sz w:val="30"/>
          <w:szCs w:val="30"/>
        </w:rPr>
      </w:pPr>
      <w:r w:rsidRPr="00774D5F">
        <w:rPr>
          <w:rFonts w:ascii="仿宋_GB2312" w:eastAsia="仿宋_GB2312" w:hAnsi="Calibri" w:hint="eastAsia"/>
          <w:sz w:val="30"/>
          <w:szCs w:val="30"/>
        </w:rPr>
        <w:t>（三）设有专职部门负责国债业务，并具有</w:t>
      </w:r>
      <w:r w:rsidR="00945255">
        <w:rPr>
          <w:rFonts w:ascii="仿宋_GB2312" w:eastAsia="仿宋_GB2312" w:hAnsi="Calibri" w:hint="eastAsia"/>
          <w:sz w:val="30"/>
          <w:szCs w:val="30"/>
        </w:rPr>
        <w:t>较为</w:t>
      </w:r>
      <w:r w:rsidRPr="00774D5F">
        <w:rPr>
          <w:rFonts w:ascii="仿宋_GB2312" w:eastAsia="仿宋_GB2312" w:hAnsi="Calibri" w:hint="eastAsia"/>
          <w:sz w:val="30"/>
          <w:szCs w:val="30"/>
        </w:rPr>
        <w:t>健全的国债</w:t>
      </w:r>
      <w:r w:rsidR="00945255">
        <w:rPr>
          <w:rFonts w:ascii="仿宋_GB2312" w:eastAsia="仿宋_GB2312" w:hAnsi="Calibri" w:hint="eastAsia"/>
          <w:sz w:val="30"/>
          <w:szCs w:val="30"/>
        </w:rPr>
        <w:t>承销、交易</w:t>
      </w:r>
      <w:r w:rsidRPr="00774D5F">
        <w:rPr>
          <w:rFonts w:ascii="仿宋_GB2312" w:eastAsia="仿宋_GB2312" w:hAnsi="Calibri" w:hint="eastAsia"/>
          <w:sz w:val="30"/>
          <w:szCs w:val="30"/>
        </w:rPr>
        <w:t>和风险管理制度。</w:t>
      </w:r>
    </w:p>
    <w:p w:rsidR="00654C19" w:rsidRPr="00774D5F" w:rsidRDefault="00654C19" w:rsidP="00654C19">
      <w:pPr>
        <w:adjustRightInd w:val="0"/>
        <w:snapToGrid w:val="0"/>
        <w:spacing w:line="360" w:lineRule="auto"/>
        <w:ind w:firstLineChars="200" w:firstLine="600"/>
        <w:rPr>
          <w:rFonts w:ascii="仿宋_GB2312" w:eastAsia="仿宋_GB2312" w:hAnsi="Calibri"/>
          <w:sz w:val="30"/>
          <w:szCs w:val="30"/>
        </w:rPr>
      </w:pPr>
      <w:r w:rsidRPr="00774D5F">
        <w:rPr>
          <w:rFonts w:ascii="仿宋_GB2312" w:eastAsia="仿宋_GB2312" w:hAnsi="Calibri" w:hint="eastAsia"/>
          <w:sz w:val="30"/>
          <w:szCs w:val="30"/>
        </w:rPr>
        <w:lastRenderedPageBreak/>
        <w:t>（四）有能力履行国债承销协议约定的各项义务。</w:t>
      </w:r>
    </w:p>
    <w:p w:rsidR="00654C19" w:rsidRPr="00774D5F" w:rsidRDefault="00654C19" w:rsidP="00654C19">
      <w:pPr>
        <w:adjustRightInd w:val="0"/>
        <w:snapToGrid w:val="0"/>
        <w:spacing w:line="360" w:lineRule="auto"/>
        <w:ind w:firstLineChars="200" w:firstLine="600"/>
        <w:rPr>
          <w:rFonts w:ascii="仿宋_GB2312" w:eastAsia="仿宋_GB2312" w:hAnsi="Calibri"/>
          <w:sz w:val="30"/>
          <w:szCs w:val="30"/>
        </w:rPr>
      </w:pPr>
      <w:r w:rsidRPr="00774D5F">
        <w:rPr>
          <w:rFonts w:ascii="仿宋_GB2312" w:eastAsia="仿宋_GB2312" w:hAnsi="Calibri" w:hint="eastAsia"/>
          <w:sz w:val="30"/>
          <w:szCs w:val="30"/>
        </w:rPr>
        <w:t>（五）拟作为储蓄国债承销团成员的，应当为依法开展经营活动，近3年内在</w:t>
      </w:r>
      <w:r w:rsidR="003B5E83">
        <w:rPr>
          <w:rFonts w:ascii="仿宋_GB2312" w:eastAsia="仿宋_GB2312" w:hAnsi="Calibri" w:hint="eastAsia"/>
          <w:sz w:val="30"/>
          <w:szCs w:val="30"/>
        </w:rPr>
        <w:t>储蓄国债、</w:t>
      </w:r>
      <w:r w:rsidRPr="00774D5F">
        <w:rPr>
          <w:rFonts w:ascii="仿宋_GB2312" w:eastAsia="仿宋_GB2312" w:hAnsi="Calibri" w:hint="eastAsia"/>
          <w:sz w:val="30"/>
          <w:szCs w:val="30"/>
        </w:rPr>
        <w:t>个人储蓄存款、理财产品销售等经营活动中没有重大违法记录，注册资本不低于人民币10亿元或者总资产不低于人民币300亿元，营业网点在50个以上的存款类金融机构。</w:t>
      </w:r>
    </w:p>
    <w:p w:rsidR="00654C19" w:rsidRDefault="00654C19" w:rsidP="00654C19">
      <w:pPr>
        <w:adjustRightInd w:val="0"/>
        <w:snapToGrid w:val="0"/>
        <w:spacing w:line="360" w:lineRule="auto"/>
        <w:ind w:firstLineChars="200" w:firstLine="600"/>
        <w:rPr>
          <w:rFonts w:ascii="仿宋_GB2312" w:eastAsia="仿宋_GB2312" w:hAnsi="Calibri"/>
          <w:sz w:val="30"/>
          <w:szCs w:val="30"/>
        </w:rPr>
      </w:pPr>
      <w:r w:rsidRPr="00774D5F">
        <w:rPr>
          <w:rFonts w:ascii="仿宋_GB2312" w:eastAsia="仿宋_GB2312" w:hAnsi="Calibri" w:hint="eastAsia"/>
          <w:sz w:val="30"/>
          <w:szCs w:val="30"/>
        </w:rPr>
        <w:t>（六）拟作为记账式国债承销团成员的，应当为依法开展经营活动，近3年内在债券承销、交易等经营活动中没有重大违法记录，注册资本不低于人民币5亿元或者总资产不低于人民币200亿元的存款类金融机构，或注册资本不低于人民币10亿元的非存款类金融机构。</w:t>
      </w:r>
    </w:p>
    <w:p w:rsidR="00081660" w:rsidRPr="00774D5F" w:rsidRDefault="00081660" w:rsidP="00654C19">
      <w:pPr>
        <w:adjustRightInd w:val="0"/>
        <w:snapToGrid w:val="0"/>
        <w:spacing w:line="360" w:lineRule="auto"/>
        <w:ind w:firstLineChars="200" w:firstLine="600"/>
        <w:rPr>
          <w:rFonts w:ascii="仿宋_GB2312" w:eastAsia="仿宋_GB2312" w:hAnsi="Calibri"/>
          <w:sz w:val="30"/>
          <w:szCs w:val="30"/>
        </w:rPr>
      </w:pPr>
      <w:r>
        <w:rPr>
          <w:rFonts w:ascii="仿宋_GB2312" w:eastAsia="仿宋_GB2312" w:hAnsi="Calibri" w:hint="eastAsia"/>
          <w:sz w:val="30"/>
          <w:szCs w:val="30"/>
        </w:rPr>
        <w:t>（七）近3年在</w:t>
      </w:r>
      <w:r w:rsidR="00945255">
        <w:rPr>
          <w:rFonts w:ascii="仿宋_GB2312" w:eastAsia="仿宋_GB2312" w:hAnsi="Calibri" w:hint="eastAsia"/>
          <w:sz w:val="30"/>
          <w:szCs w:val="30"/>
        </w:rPr>
        <w:t>反</w:t>
      </w:r>
      <w:r>
        <w:rPr>
          <w:rFonts w:ascii="仿宋_GB2312" w:eastAsia="仿宋_GB2312" w:hAnsi="Calibri" w:hint="eastAsia"/>
          <w:sz w:val="30"/>
          <w:szCs w:val="30"/>
        </w:rPr>
        <w:t>洗钱</w:t>
      </w:r>
      <w:r w:rsidR="00945255">
        <w:rPr>
          <w:rFonts w:ascii="仿宋_GB2312" w:eastAsia="仿宋_GB2312" w:hAnsi="Calibri" w:hint="eastAsia"/>
          <w:sz w:val="30"/>
          <w:szCs w:val="30"/>
        </w:rPr>
        <w:t>和反</w:t>
      </w:r>
      <w:r>
        <w:rPr>
          <w:rFonts w:ascii="仿宋_GB2312" w:eastAsia="仿宋_GB2312" w:hAnsi="Calibri" w:hint="eastAsia"/>
          <w:sz w:val="30"/>
          <w:szCs w:val="30"/>
        </w:rPr>
        <w:t>恐怖融资</w:t>
      </w:r>
      <w:r w:rsidR="00945255">
        <w:rPr>
          <w:rFonts w:ascii="仿宋_GB2312" w:eastAsia="仿宋_GB2312" w:hAnsi="Calibri" w:hint="eastAsia"/>
          <w:sz w:val="30"/>
          <w:szCs w:val="30"/>
        </w:rPr>
        <w:t>工作中无重大违法记录</w:t>
      </w:r>
      <w:r>
        <w:rPr>
          <w:rFonts w:ascii="仿宋_GB2312" w:eastAsia="仿宋_GB2312" w:hAnsi="Calibri" w:hint="eastAsia"/>
          <w:sz w:val="30"/>
          <w:szCs w:val="30"/>
        </w:rPr>
        <w:t>。</w:t>
      </w:r>
    </w:p>
    <w:p w:rsidR="00654C19" w:rsidRPr="00774D5F" w:rsidRDefault="00654C19" w:rsidP="00654C19">
      <w:pPr>
        <w:adjustRightInd w:val="0"/>
        <w:snapToGrid w:val="0"/>
        <w:spacing w:line="360" w:lineRule="auto"/>
        <w:ind w:firstLineChars="200" w:firstLine="600"/>
        <w:rPr>
          <w:rFonts w:ascii="仿宋_GB2312" w:eastAsia="仿宋_GB2312" w:hAnsi="Calibri"/>
          <w:sz w:val="30"/>
          <w:szCs w:val="30"/>
        </w:rPr>
      </w:pPr>
      <w:r w:rsidRPr="00CE3206">
        <w:rPr>
          <w:rFonts w:ascii="仿宋_GB2312" w:eastAsia="仿宋_GB2312" w:hAnsi="Calibri" w:hint="eastAsia"/>
          <w:sz w:val="30"/>
          <w:szCs w:val="30"/>
        </w:rPr>
        <w:t>（</w:t>
      </w:r>
      <w:r w:rsidR="00081660">
        <w:rPr>
          <w:rFonts w:ascii="仿宋_GB2312" w:eastAsia="仿宋_GB2312" w:hAnsi="Calibri" w:hint="eastAsia"/>
          <w:sz w:val="30"/>
          <w:szCs w:val="30"/>
        </w:rPr>
        <w:t>八</w:t>
      </w:r>
      <w:r w:rsidRPr="00CE3206">
        <w:rPr>
          <w:rFonts w:ascii="仿宋_GB2312" w:eastAsia="仿宋_GB2312" w:hAnsi="Calibri" w:hint="eastAsia"/>
          <w:sz w:val="30"/>
          <w:szCs w:val="30"/>
        </w:rPr>
        <w:t>）若为上一届国债承销团成员的，应当在上一届国债承销团有效期最后一年未</w:t>
      </w:r>
      <w:r w:rsidR="00113503">
        <w:rPr>
          <w:rFonts w:ascii="仿宋_GB2312" w:eastAsia="仿宋_GB2312" w:hAnsi="Calibri" w:hint="eastAsia"/>
          <w:sz w:val="30"/>
          <w:szCs w:val="30"/>
        </w:rPr>
        <w:t>触发</w:t>
      </w:r>
      <w:r w:rsidRPr="00CE3206">
        <w:rPr>
          <w:rFonts w:ascii="仿宋_GB2312" w:eastAsia="仿宋_GB2312" w:hAnsi="Calibri" w:hint="eastAsia"/>
          <w:sz w:val="30"/>
          <w:szCs w:val="30"/>
        </w:rPr>
        <w:t>退团</w:t>
      </w:r>
      <w:r w:rsidR="00113503">
        <w:rPr>
          <w:rFonts w:ascii="仿宋_GB2312" w:eastAsia="仿宋_GB2312" w:hAnsi="Calibri" w:hint="eastAsia"/>
          <w:sz w:val="30"/>
          <w:szCs w:val="30"/>
        </w:rPr>
        <w:t>条件</w:t>
      </w:r>
      <w:r w:rsidRPr="00CE3206">
        <w:rPr>
          <w:rFonts w:ascii="仿宋_GB2312" w:eastAsia="仿宋_GB2312" w:hAnsi="Calibri" w:hint="eastAsia"/>
          <w:sz w:val="30"/>
          <w:szCs w:val="30"/>
        </w:rPr>
        <w:t>或</w:t>
      </w:r>
      <w:r w:rsidR="00213EB2" w:rsidRPr="00CE3206">
        <w:rPr>
          <w:rFonts w:ascii="仿宋_GB2312" w:eastAsia="仿宋_GB2312" w:hAnsi="Calibri" w:hint="eastAsia"/>
          <w:sz w:val="30"/>
          <w:szCs w:val="30"/>
        </w:rPr>
        <w:t>未</w:t>
      </w:r>
      <w:r w:rsidRPr="00CE3206">
        <w:rPr>
          <w:rFonts w:ascii="仿宋_GB2312" w:eastAsia="仿宋_GB2312" w:hAnsi="Calibri" w:hint="eastAsia"/>
          <w:sz w:val="30"/>
          <w:szCs w:val="30"/>
        </w:rPr>
        <w:t>主动退团。</w:t>
      </w:r>
    </w:p>
    <w:p w:rsidR="00654C19" w:rsidRPr="00774D5F" w:rsidRDefault="00654C19" w:rsidP="00654C19">
      <w:pPr>
        <w:adjustRightInd w:val="0"/>
        <w:snapToGrid w:val="0"/>
        <w:spacing w:line="360" w:lineRule="auto"/>
        <w:ind w:firstLineChars="200" w:firstLine="602"/>
        <w:rPr>
          <w:rFonts w:ascii="仿宋_GB2312" w:eastAsia="仿宋_GB2312" w:hAnsi="Calibri"/>
          <w:sz w:val="30"/>
          <w:szCs w:val="30"/>
        </w:rPr>
      </w:pPr>
      <w:r w:rsidRPr="00774D5F">
        <w:rPr>
          <w:rFonts w:ascii="仿宋_GB2312" w:eastAsia="仿宋_GB2312" w:hAnsi="Calibri" w:hint="eastAsia"/>
          <w:b/>
          <w:sz w:val="30"/>
          <w:szCs w:val="30"/>
        </w:rPr>
        <w:t>第十条</w:t>
      </w:r>
      <w:r w:rsidR="002F4343" w:rsidRPr="00774D5F">
        <w:rPr>
          <w:rFonts w:ascii="仿宋_GB2312" w:eastAsia="仿宋_GB2312" w:hAnsi="Calibri" w:hint="eastAsia"/>
          <w:sz w:val="30"/>
          <w:szCs w:val="30"/>
        </w:rPr>
        <w:t xml:space="preserve">　</w:t>
      </w:r>
      <w:r w:rsidRPr="00774D5F">
        <w:rPr>
          <w:rFonts w:ascii="仿宋_GB2312" w:eastAsia="仿宋_GB2312" w:hAnsi="Calibri" w:hint="eastAsia"/>
          <w:sz w:val="30"/>
          <w:szCs w:val="30"/>
        </w:rPr>
        <w:t>国债承销团采用</w:t>
      </w:r>
      <w:r>
        <w:rPr>
          <w:rFonts w:ascii="仿宋_GB2312" w:eastAsia="仿宋_GB2312" w:hAnsi="Calibri" w:hint="eastAsia"/>
          <w:sz w:val="30"/>
          <w:szCs w:val="30"/>
        </w:rPr>
        <w:t>第三方专家评审</w:t>
      </w:r>
      <w:r w:rsidRPr="00774D5F">
        <w:rPr>
          <w:rFonts w:ascii="仿宋_GB2312" w:eastAsia="仿宋_GB2312" w:hAnsi="Calibri" w:hint="eastAsia"/>
          <w:sz w:val="30"/>
          <w:szCs w:val="30"/>
        </w:rPr>
        <w:t>的方式组建。</w:t>
      </w:r>
      <w:r>
        <w:rPr>
          <w:rFonts w:ascii="仿宋_GB2312" w:eastAsia="仿宋_GB2312" w:hAnsi="Calibri" w:hint="eastAsia"/>
          <w:sz w:val="30"/>
          <w:szCs w:val="30"/>
        </w:rPr>
        <w:t>财政部会同有关部门</w:t>
      </w:r>
      <w:r w:rsidRPr="00774D5F">
        <w:rPr>
          <w:rFonts w:ascii="仿宋_GB2312" w:eastAsia="仿宋_GB2312" w:hAnsi="Calibri" w:hint="eastAsia"/>
          <w:sz w:val="30"/>
          <w:szCs w:val="30"/>
        </w:rPr>
        <w:t>建立专家库，从中抽取专家组成专家评审委员会，由评审委员会成员按照规定的评分指标体系和方法对符合基本条件的报名机构进行</w:t>
      </w:r>
      <w:r>
        <w:rPr>
          <w:rFonts w:ascii="仿宋_GB2312" w:eastAsia="仿宋_GB2312" w:hAnsi="Calibri" w:hint="eastAsia"/>
          <w:sz w:val="30"/>
          <w:szCs w:val="30"/>
        </w:rPr>
        <w:t>独立</w:t>
      </w:r>
      <w:r w:rsidRPr="00774D5F">
        <w:rPr>
          <w:rFonts w:ascii="仿宋_GB2312" w:eastAsia="仿宋_GB2312" w:hAnsi="Calibri" w:hint="eastAsia"/>
          <w:sz w:val="30"/>
          <w:szCs w:val="30"/>
        </w:rPr>
        <w:t>评分，根据评分确定国债承销团候选成员名单，经公示、签订承销主协议等程序后，组成新一届国债承销团。</w:t>
      </w:r>
    </w:p>
    <w:p w:rsidR="00654C19" w:rsidRPr="00774D5F" w:rsidRDefault="00654C19" w:rsidP="00654C19">
      <w:pPr>
        <w:adjustRightInd w:val="0"/>
        <w:snapToGrid w:val="0"/>
        <w:spacing w:line="360" w:lineRule="auto"/>
        <w:ind w:firstLineChars="200" w:firstLine="602"/>
        <w:rPr>
          <w:rFonts w:ascii="仿宋_GB2312" w:eastAsia="仿宋_GB2312" w:hAnsi="Calibri"/>
          <w:sz w:val="30"/>
          <w:szCs w:val="30"/>
        </w:rPr>
      </w:pPr>
      <w:r w:rsidRPr="00774D5F">
        <w:rPr>
          <w:rFonts w:ascii="仿宋_GB2312" w:eastAsia="仿宋_GB2312" w:hAnsi="Calibri" w:hint="eastAsia"/>
          <w:b/>
          <w:sz w:val="30"/>
          <w:szCs w:val="30"/>
        </w:rPr>
        <w:t>第十一条</w:t>
      </w:r>
      <w:r w:rsidR="002F4343" w:rsidRPr="00774D5F">
        <w:rPr>
          <w:rFonts w:ascii="仿宋_GB2312" w:eastAsia="仿宋_GB2312" w:hAnsi="Calibri" w:hint="eastAsia"/>
          <w:sz w:val="30"/>
          <w:szCs w:val="30"/>
        </w:rPr>
        <w:t xml:space="preserve">　</w:t>
      </w:r>
      <w:r w:rsidRPr="00774D5F">
        <w:rPr>
          <w:rFonts w:ascii="仿宋_GB2312" w:eastAsia="仿宋_GB2312" w:hAnsi="Calibri" w:hint="eastAsia"/>
          <w:sz w:val="30"/>
          <w:szCs w:val="30"/>
        </w:rPr>
        <w:t>专家</w:t>
      </w:r>
      <w:r>
        <w:rPr>
          <w:rFonts w:ascii="仿宋_GB2312" w:eastAsia="仿宋_GB2312" w:hAnsi="Calibri" w:hint="eastAsia"/>
          <w:sz w:val="30"/>
          <w:szCs w:val="30"/>
        </w:rPr>
        <w:t>由金融行业自律性组织和金融市场中介服务机构等</w:t>
      </w:r>
      <w:r w:rsidRPr="00774D5F">
        <w:rPr>
          <w:rFonts w:ascii="仿宋_GB2312" w:eastAsia="仿宋_GB2312" w:hAnsi="Calibri" w:hint="eastAsia"/>
          <w:sz w:val="30"/>
          <w:szCs w:val="30"/>
        </w:rPr>
        <w:t>推荐</w:t>
      </w:r>
      <w:r>
        <w:rPr>
          <w:rFonts w:ascii="仿宋_GB2312" w:eastAsia="仿宋_GB2312" w:hAnsi="Calibri" w:hint="eastAsia"/>
          <w:sz w:val="30"/>
          <w:szCs w:val="30"/>
        </w:rPr>
        <w:t>。专家应当具备以下条件：</w:t>
      </w:r>
    </w:p>
    <w:p w:rsidR="00654C19" w:rsidRPr="00774D5F" w:rsidRDefault="00654C19" w:rsidP="00654C19">
      <w:pPr>
        <w:adjustRightInd w:val="0"/>
        <w:snapToGrid w:val="0"/>
        <w:spacing w:line="360" w:lineRule="auto"/>
        <w:ind w:firstLineChars="200" w:firstLine="600"/>
        <w:rPr>
          <w:rFonts w:ascii="仿宋_GB2312" w:eastAsia="仿宋_GB2312" w:hAnsi="Calibri"/>
          <w:sz w:val="30"/>
          <w:szCs w:val="30"/>
        </w:rPr>
      </w:pPr>
      <w:r>
        <w:rPr>
          <w:rFonts w:ascii="仿宋_GB2312" w:eastAsia="仿宋_GB2312" w:hAnsi="Calibri" w:hint="eastAsia"/>
          <w:sz w:val="30"/>
          <w:szCs w:val="30"/>
        </w:rPr>
        <w:t>（一）</w:t>
      </w:r>
      <w:r w:rsidRPr="00774D5F">
        <w:rPr>
          <w:rFonts w:ascii="仿宋_GB2312" w:eastAsia="仿宋_GB2312" w:hAnsi="Calibri" w:hint="eastAsia"/>
          <w:sz w:val="30"/>
          <w:szCs w:val="30"/>
        </w:rPr>
        <w:t>具有良好的职业道德，在评审过程中能以客观公正、廉洁自律、遵纪守法为行为准则。</w:t>
      </w:r>
    </w:p>
    <w:p w:rsidR="00654C19" w:rsidRPr="00774D5F" w:rsidRDefault="00654C19" w:rsidP="00654C19">
      <w:pPr>
        <w:adjustRightInd w:val="0"/>
        <w:snapToGrid w:val="0"/>
        <w:spacing w:line="360" w:lineRule="auto"/>
        <w:ind w:firstLineChars="200" w:firstLine="600"/>
        <w:rPr>
          <w:rFonts w:ascii="仿宋_GB2312" w:eastAsia="仿宋_GB2312" w:hAnsi="Calibri"/>
          <w:sz w:val="30"/>
          <w:szCs w:val="30"/>
        </w:rPr>
      </w:pPr>
      <w:r>
        <w:rPr>
          <w:rFonts w:ascii="仿宋_GB2312" w:eastAsia="仿宋_GB2312" w:hAnsi="Calibri" w:hint="eastAsia"/>
          <w:sz w:val="30"/>
          <w:szCs w:val="30"/>
        </w:rPr>
        <w:lastRenderedPageBreak/>
        <w:t>（二）</w:t>
      </w:r>
      <w:r w:rsidRPr="00774D5F">
        <w:rPr>
          <w:rFonts w:ascii="仿宋_GB2312" w:eastAsia="仿宋_GB2312" w:hAnsi="Calibri" w:hint="eastAsia"/>
          <w:sz w:val="30"/>
          <w:szCs w:val="30"/>
        </w:rPr>
        <w:t>从事相关领域研究或实务工作满10年，具备大学（含）以上文化程度，精通国债业务。</w:t>
      </w:r>
    </w:p>
    <w:p w:rsidR="00654C19" w:rsidRPr="00774D5F" w:rsidRDefault="00654C19" w:rsidP="00654C19">
      <w:pPr>
        <w:adjustRightInd w:val="0"/>
        <w:snapToGrid w:val="0"/>
        <w:spacing w:line="360" w:lineRule="auto"/>
        <w:ind w:firstLineChars="200" w:firstLine="600"/>
        <w:rPr>
          <w:rFonts w:ascii="仿宋_GB2312" w:eastAsia="仿宋_GB2312" w:hAnsi="Calibri"/>
          <w:sz w:val="30"/>
          <w:szCs w:val="30"/>
        </w:rPr>
      </w:pPr>
      <w:r>
        <w:rPr>
          <w:rFonts w:ascii="仿宋_GB2312" w:eastAsia="仿宋_GB2312" w:hAnsi="Calibri" w:hint="eastAsia"/>
          <w:sz w:val="30"/>
          <w:szCs w:val="30"/>
        </w:rPr>
        <w:t>（三）</w:t>
      </w:r>
      <w:r w:rsidRPr="00774D5F">
        <w:rPr>
          <w:rFonts w:ascii="仿宋_GB2312" w:eastAsia="仿宋_GB2312" w:hAnsi="Calibri" w:hint="eastAsia"/>
          <w:sz w:val="30"/>
          <w:szCs w:val="30"/>
        </w:rPr>
        <w:t>愿意以独立身份参加评审工作，并接受财政部、人民银行、证监会的指导和监督。</w:t>
      </w:r>
    </w:p>
    <w:p w:rsidR="00654C19" w:rsidRDefault="00654C19" w:rsidP="00654C19">
      <w:pPr>
        <w:adjustRightInd w:val="0"/>
        <w:snapToGrid w:val="0"/>
        <w:spacing w:line="360" w:lineRule="auto"/>
        <w:ind w:firstLineChars="200" w:firstLine="600"/>
        <w:rPr>
          <w:rFonts w:ascii="仿宋_GB2312" w:eastAsia="仿宋_GB2312" w:hAnsi="Calibri"/>
          <w:sz w:val="30"/>
          <w:szCs w:val="30"/>
        </w:rPr>
      </w:pPr>
      <w:r>
        <w:rPr>
          <w:rFonts w:ascii="仿宋_GB2312" w:eastAsia="仿宋_GB2312" w:hAnsi="Calibri" w:hint="eastAsia"/>
          <w:sz w:val="30"/>
          <w:szCs w:val="30"/>
        </w:rPr>
        <w:t>（四）</w:t>
      </w:r>
      <w:r w:rsidRPr="00774D5F">
        <w:rPr>
          <w:rFonts w:ascii="仿宋_GB2312" w:eastAsia="仿宋_GB2312" w:hAnsi="Calibri" w:hint="eastAsia"/>
          <w:sz w:val="30"/>
          <w:szCs w:val="30"/>
        </w:rPr>
        <w:t>没有违纪违法等不良记录。</w:t>
      </w:r>
    </w:p>
    <w:p w:rsidR="00654C19" w:rsidRPr="00774D5F" w:rsidRDefault="00654C19" w:rsidP="00654C19">
      <w:pPr>
        <w:adjustRightInd w:val="0"/>
        <w:snapToGrid w:val="0"/>
        <w:spacing w:line="360" w:lineRule="auto"/>
        <w:ind w:firstLineChars="200" w:firstLine="600"/>
        <w:rPr>
          <w:rFonts w:ascii="仿宋_GB2312" w:eastAsia="仿宋_GB2312" w:hAnsi="Calibri"/>
          <w:sz w:val="30"/>
          <w:szCs w:val="30"/>
        </w:rPr>
      </w:pPr>
      <w:r>
        <w:rPr>
          <w:rFonts w:ascii="仿宋_GB2312" w:eastAsia="仿宋_GB2312" w:hAnsi="Calibri" w:hint="eastAsia"/>
          <w:sz w:val="30"/>
          <w:szCs w:val="30"/>
        </w:rPr>
        <w:t>（五）不属于财政部、人民银行、证监会、银保监会等主管部门在职</w:t>
      </w:r>
      <w:r w:rsidRPr="00774D5F">
        <w:rPr>
          <w:rFonts w:ascii="仿宋_GB2312" w:eastAsia="仿宋_GB2312" w:hAnsi="Calibri" w:hint="eastAsia"/>
          <w:sz w:val="30"/>
          <w:szCs w:val="30"/>
        </w:rPr>
        <w:t>工作人员</w:t>
      </w:r>
      <w:r>
        <w:rPr>
          <w:rFonts w:ascii="仿宋_GB2312" w:eastAsia="仿宋_GB2312" w:hAnsi="Calibri" w:hint="eastAsia"/>
          <w:sz w:val="30"/>
          <w:szCs w:val="30"/>
        </w:rPr>
        <w:t>。</w:t>
      </w:r>
    </w:p>
    <w:p w:rsidR="00654C19" w:rsidRPr="00774D5F" w:rsidRDefault="00654C19" w:rsidP="00654C19">
      <w:pPr>
        <w:adjustRightInd w:val="0"/>
        <w:snapToGrid w:val="0"/>
        <w:spacing w:line="360" w:lineRule="auto"/>
        <w:ind w:firstLineChars="200" w:firstLine="600"/>
        <w:rPr>
          <w:rFonts w:ascii="仿宋_GB2312" w:eastAsia="仿宋_GB2312" w:hAnsi="Calibri"/>
          <w:sz w:val="30"/>
          <w:szCs w:val="30"/>
        </w:rPr>
      </w:pPr>
      <w:r w:rsidRPr="00774D5F">
        <w:rPr>
          <w:rFonts w:ascii="仿宋_GB2312" w:eastAsia="仿宋_GB2312" w:hAnsi="Calibri" w:hint="eastAsia"/>
          <w:sz w:val="30"/>
          <w:szCs w:val="30"/>
        </w:rPr>
        <w:t>财政部会同有关部门对推荐的专家进行确认后，汇总形成专家库。每次组建国债承销团或增补新成员时，财政部应当会同有关部门对专家库进行复核，将不符合条件的专家调整出专家库，</w:t>
      </w:r>
      <w:r>
        <w:rPr>
          <w:rFonts w:ascii="仿宋_GB2312" w:eastAsia="仿宋_GB2312" w:hAnsi="Calibri" w:hint="eastAsia"/>
          <w:sz w:val="30"/>
          <w:szCs w:val="30"/>
        </w:rPr>
        <w:t>并根据</w:t>
      </w:r>
      <w:r w:rsidRPr="00774D5F">
        <w:rPr>
          <w:rFonts w:ascii="仿宋_GB2312" w:eastAsia="仿宋_GB2312" w:hAnsi="Calibri" w:hint="eastAsia"/>
          <w:sz w:val="30"/>
          <w:szCs w:val="30"/>
        </w:rPr>
        <w:t>需要</w:t>
      </w:r>
      <w:r>
        <w:rPr>
          <w:rFonts w:ascii="仿宋_GB2312" w:eastAsia="仿宋_GB2312" w:hAnsi="Calibri" w:hint="eastAsia"/>
          <w:sz w:val="30"/>
          <w:szCs w:val="30"/>
        </w:rPr>
        <w:t>进行</w:t>
      </w:r>
      <w:r w:rsidRPr="00774D5F">
        <w:rPr>
          <w:rFonts w:ascii="仿宋_GB2312" w:eastAsia="仿宋_GB2312" w:hAnsi="Calibri" w:hint="eastAsia"/>
          <w:sz w:val="30"/>
          <w:szCs w:val="30"/>
        </w:rPr>
        <w:t>适当增补。</w:t>
      </w:r>
    </w:p>
    <w:p w:rsidR="00654C19" w:rsidRPr="00774D5F" w:rsidRDefault="00654C19" w:rsidP="00654C19">
      <w:pPr>
        <w:adjustRightInd w:val="0"/>
        <w:snapToGrid w:val="0"/>
        <w:spacing w:line="360" w:lineRule="auto"/>
        <w:ind w:firstLineChars="200" w:firstLine="602"/>
        <w:rPr>
          <w:rFonts w:ascii="仿宋_GB2312" w:eastAsia="仿宋_GB2312" w:hAnsi="Calibri"/>
          <w:sz w:val="30"/>
          <w:szCs w:val="30"/>
        </w:rPr>
      </w:pPr>
      <w:r w:rsidRPr="00DD7731">
        <w:rPr>
          <w:rFonts w:ascii="仿宋_GB2312" w:eastAsia="仿宋_GB2312" w:hAnsi="Calibri" w:hint="eastAsia"/>
          <w:b/>
          <w:sz w:val="30"/>
          <w:szCs w:val="30"/>
        </w:rPr>
        <w:t>第十二条</w:t>
      </w:r>
      <w:r w:rsidR="002F4343" w:rsidRPr="00774D5F">
        <w:rPr>
          <w:rFonts w:ascii="仿宋_GB2312" w:eastAsia="仿宋_GB2312" w:hAnsi="Calibri" w:hint="eastAsia"/>
          <w:sz w:val="30"/>
          <w:szCs w:val="30"/>
        </w:rPr>
        <w:t xml:space="preserve">　</w:t>
      </w:r>
      <w:r w:rsidRPr="00774D5F">
        <w:rPr>
          <w:rFonts w:ascii="仿宋_GB2312" w:eastAsia="仿宋_GB2312" w:hAnsi="Calibri" w:hint="eastAsia"/>
          <w:sz w:val="30"/>
          <w:szCs w:val="30"/>
        </w:rPr>
        <w:t>财政部</w:t>
      </w:r>
      <w:r>
        <w:rPr>
          <w:rFonts w:ascii="仿宋_GB2312" w:eastAsia="仿宋_GB2312" w:hAnsi="Calibri" w:hint="eastAsia"/>
          <w:sz w:val="30"/>
          <w:szCs w:val="30"/>
        </w:rPr>
        <w:t>负责</w:t>
      </w:r>
      <w:r w:rsidRPr="00774D5F">
        <w:rPr>
          <w:rFonts w:ascii="仿宋_GB2312" w:eastAsia="仿宋_GB2312" w:hAnsi="Calibri" w:hint="eastAsia"/>
          <w:sz w:val="30"/>
          <w:szCs w:val="30"/>
        </w:rPr>
        <w:t>从专家库中随机抽取专家组成人数为奇数且不少于7人的评审委员会</w:t>
      </w:r>
      <w:r>
        <w:rPr>
          <w:rFonts w:ascii="仿宋_GB2312" w:eastAsia="仿宋_GB2312" w:hAnsi="Calibri" w:hint="eastAsia"/>
          <w:sz w:val="30"/>
          <w:szCs w:val="30"/>
        </w:rPr>
        <w:t>。</w:t>
      </w:r>
      <w:r w:rsidRPr="00774D5F">
        <w:rPr>
          <w:rFonts w:ascii="仿宋_GB2312" w:eastAsia="仿宋_GB2312" w:hAnsi="Calibri" w:hint="eastAsia"/>
          <w:sz w:val="30"/>
          <w:szCs w:val="30"/>
        </w:rPr>
        <w:t>评审委员会成员不能在报名机构或其利益关联机构中任职。抽取专家时，</w:t>
      </w:r>
      <w:r>
        <w:rPr>
          <w:rFonts w:ascii="仿宋_GB2312" w:eastAsia="仿宋_GB2312" w:hAnsi="Calibri" w:hint="eastAsia"/>
          <w:sz w:val="30"/>
          <w:szCs w:val="30"/>
        </w:rPr>
        <w:t>财政部、</w:t>
      </w:r>
      <w:r w:rsidRPr="00774D5F">
        <w:rPr>
          <w:rFonts w:ascii="仿宋_GB2312" w:eastAsia="仿宋_GB2312" w:hAnsi="Calibri" w:hint="eastAsia"/>
          <w:sz w:val="30"/>
          <w:szCs w:val="30"/>
        </w:rPr>
        <w:t>人民银行、证监会派观察员到场监督。</w:t>
      </w:r>
    </w:p>
    <w:p w:rsidR="00654C19" w:rsidRPr="00774D5F" w:rsidRDefault="00654C19" w:rsidP="00654C19">
      <w:pPr>
        <w:adjustRightInd w:val="0"/>
        <w:snapToGrid w:val="0"/>
        <w:spacing w:line="360" w:lineRule="auto"/>
        <w:ind w:firstLineChars="200" w:firstLine="602"/>
        <w:rPr>
          <w:rFonts w:ascii="仿宋_GB2312" w:eastAsia="仿宋_GB2312" w:hAnsi="Calibri"/>
          <w:sz w:val="30"/>
          <w:szCs w:val="30"/>
        </w:rPr>
      </w:pPr>
      <w:r w:rsidRPr="00DD7731">
        <w:rPr>
          <w:rFonts w:ascii="仿宋_GB2312" w:eastAsia="仿宋_GB2312" w:hAnsi="Calibri" w:hint="eastAsia"/>
          <w:b/>
          <w:sz w:val="30"/>
          <w:szCs w:val="30"/>
        </w:rPr>
        <w:t>第十三条</w:t>
      </w:r>
      <w:r w:rsidR="002F4343" w:rsidRPr="00774D5F">
        <w:rPr>
          <w:rFonts w:ascii="仿宋_GB2312" w:eastAsia="仿宋_GB2312" w:hAnsi="Calibri" w:hint="eastAsia"/>
          <w:sz w:val="30"/>
          <w:szCs w:val="30"/>
        </w:rPr>
        <w:t xml:space="preserve">　</w:t>
      </w:r>
      <w:r w:rsidRPr="00774D5F">
        <w:rPr>
          <w:rFonts w:ascii="仿宋_GB2312" w:eastAsia="仿宋_GB2312" w:hAnsi="Calibri" w:hint="eastAsia"/>
          <w:sz w:val="30"/>
          <w:szCs w:val="30"/>
        </w:rPr>
        <w:t>财政部会同有关部门根据国债市场情况和业务发展需要，建立评分指标体系。储蓄国债承销团评分指标包括储蓄国债业务开展情况、储蓄存款和理财产品情况、业务渠道情况、风险防控能力、资本经营状况、研究创新能力等其他因素六个方面；</w:t>
      </w:r>
      <w:r w:rsidRPr="00774D5F">
        <w:rPr>
          <w:rFonts w:ascii="仿宋_GB2312" w:eastAsia="仿宋_GB2312" w:hAnsi="Calibri" w:cs="仿宋_GB2312" w:hint="eastAsia"/>
          <w:sz w:val="30"/>
          <w:szCs w:val="30"/>
        </w:rPr>
        <w:t>记账式国债承销团评分指标包括</w:t>
      </w:r>
      <w:r w:rsidRPr="00774D5F">
        <w:rPr>
          <w:rFonts w:ascii="仿宋_GB2312" w:eastAsia="仿宋_GB2312" w:hAnsi="Calibri" w:hint="eastAsia"/>
          <w:sz w:val="30"/>
          <w:szCs w:val="30"/>
        </w:rPr>
        <w:t>国债一级市场情况、国债二级市场</w:t>
      </w:r>
      <w:r w:rsidR="00945255">
        <w:rPr>
          <w:rFonts w:ascii="仿宋_GB2312" w:eastAsia="仿宋_GB2312" w:hAnsi="Calibri" w:hint="eastAsia"/>
          <w:sz w:val="30"/>
          <w:szCs w:val="30"/>
        </w:rPr>
        <w:t>交易及做市</w:t>
      </w:r>
      <w:r w:rsidRPr="00774D5F">
        <w:rPr>
          <w:rFonts w:ascii="仿宋_GB2312" w:eastAsia="仿宋_GB2312" w:hAnsi="Calibri" w:hint="eastAsia"/>
          <w:sz w:val="30"/>
          <w:szCs w:val="30"/>
        </w:rPr>
        <w:t>情况、国债持有情况、其他债券承销交易情况、资本经营及风险防控状况、研究创新能力等其他因素六个方面（具体指标体系详见附件1）。</w:t>
      </w:r>
    </w:p>
    <w:p w:rsidR="00654C19" w:rsidRPr="00774D5F" w:rsidRDefault="00654C19" w:rsidP="00654C19">
      <w:pPr>
        <w:adjustRightInd w:val="0"/>
        <w:snapToGrid w:val="0"/>
        <w:spacing w:line="360" w:lineRule="auto"/>
        <w:ind w:firstLineChars="200" w:firstLine="602"/>
        <w:rPr>
          <w:rFonts w:ascii="仿宋_GB2312" w:eastAsia="仿宋_GB2312" w:hAnsi="Calibri"/>
          <w:sz w:val="30"/>
          <w:szCs w:val="30"/>
        </w:rPr>
      </w:pPr>
      <w:r w:rsidRPr="00DD7731">
        <w:rPr>
          <w:rFonts w:ascii="仿宋_GB2312" w:eastAsia="仿宋_GB2312" w:hAnsi="Calibri" w:hint="eastAsia"/>
          <w:b/>
          <w:sz w:val="30"/>
          <w:szCs w:val="30"/>
        </w:rPr>
        <w:t>第十四条</w:t>
      </w:r>
      <w:r w:rsidR="002F4343" w:rsidRPr="00774D5F">
        <w:rPr>
          <w:rFonts w:ascii="仿宋_GB2312" w:eastAsia="仿宋_GB2312" w:hAnsi="Calibri" w:hint="eastAsia"/>
          <w:sz w:val="30"/>
          <w:szCs w:val="30"/>
        </w:rPr>
        <w:t xml:space="preserve">　</w:t>
      </w:r>
      <w:r w:rsidRPr="00774D5F">
        <w:rPr>
          <w:rFonts w:ascii="仿宋_GB2312" w:eastAsia="仿宋_GB2312" w:hAnsi="Calibri" w:hint="eastAsia"/>
          <w:sz w:val="30"/>
          <w:szCs w:val="30"/>
        </w:rPr>
        <w:t>评审委员会根据评分标准对符合基本条件的报</w:t>
      </w:r>
      <w:r w:rsidRPr="00774D5F">
        <w:rPr>
          <w:rFonts w:ascii="仿宋_GB2312" w:eastAsia="仿宋_GB2312" w:hAnsi="Calibri" w:hint="eastAsia"/>
          <w:sz w:val="30"/>
          <w:szCs w:val="30"/>
        </w:rPr>
        <w:lastRenderedPageBreak/>
        <w:t>名机构进行评分，按照得分由高到低</w:t>
      </w:r>
      <w:r>
        <w:rPr>
          <w:rFonts w:ascii="仿宋_GB2312" w:eastAsia="仿宋_GB2312" w:hAnsi="Calibri" w:hint="eastAsia"/>
          <w:sz w:val="30"/>
          <w:szCs w:val="30"/>
        </w:rPr>
        <w:t>的顺序</w:t>
      </w:r>
      <w:r w:rsidRPr="00774D5F">
        <w:rPr>
          <w:rFonts w:ascii="仿宋_GB2312" w:eastAsia="仿宋_GB2312" w:hAnsi="Calibri" w:hint="eastAsia"/>
          <w:sz w:val="30"/>
          <w:szCs w:val="30"/>
        </w:rPr>
        <w:t>提出新一届国债承销团候选成员的推荐名单（具体评分方法详见附件2）。如多家机构最终得分相同，且同时进入国债承销团后成员数量超过新一届国债承销团成员的目标数量，则上一届国债承销团成员优先进入；如得分相同机构同为上一届国债承销团成员，上一届国债承销团有效期内综合排名居前机构优先进入；如得分相同机构都不是上一届国债承销团成员，则均不进入新一届国债承销团。</w:t>
      </w:r>
    </w:p>
    <w:p w:rsidR="00654C19" w:rsidRPr="00774D5F" w:rsidRDefault="00654C19" w:rsidP="00654C19">
      <w:pPr>
        <w:adjustRightInd w:val="0"/>
        <w:snapToGrid w:val="0"/>
        <w:spacing w:line="360" w:lineRule="auto"/>
        <w:ind w:firstLineChars="200" w:firstLine="600"/>
        <w:rPr>
          <w:rFonts w:ascii="仿宋_GB2312" w:eastAsia="仿宋_GB2312" w:hAnsi="Calibri"/>
          <w:sz w:val="30"/>
          <w:szCs w:val="30"/>
        </w:rPr>
      </w:pPr>
      <w:r w:rsidRPr="00774D5F">
        <w:rPr>
          <w:rFonts w:ascii="仿宋_GB2312" w:eastAsia="仿宋_GB2312" w:hAnsi="Calibri" w:hint="eastAsia"/>
          <w:sz w:val="30"/>
          <w:szCs w:val="30"/>
        </w:rPr>
        <w:t>专家现场评审时，财政部、人民银行、证监会派观察员到场监督。</w:t>
      </w:r>
    </w:p>
    <w:p w:rsidR="00654C19" w:rsidRPr="00774D5F" w:rsidRDefault="00654C19" w:rsidP="002F4343">
      <w:pPr>
        <w:spacing w:beforeLines="50" w:afterLines="50"/>
        <w:jc w:val="center"/>
        <w:rPr>
          <w:rFonts w:ascii="仿宋_GB2312" w:eastAsia="仿宋_GB2312" w:hAnsi="仿宋"/>
          <w:b/>
          <w:sz w:val="32"/>
          <w:szCs w:val="32"/>
        </w:rPr>
      </w:pPr>
      <w:r w:rsidRPr="00774D5F">
        <w:rPr>
          <w:rFonts w:ascii="仿宋_GB2312" w:eastAsia="仿宋_GB2312" w:hAnsi="仿宋" w:hint="eastAsia"/>
          <w:b/>
          <w:sz w:val="32"/>
          <w:szCs w:val="32"/>
        </w:rPr>
        <w:t>第四章 公示与签约</w:t>
      </w:r>
    </w:p>
    <w:p w:rsidR="00654C19" w:rsidRPr="00774D5F" w:rsidRDefault="00654C19" w:rsidP="00654C19">
      <w:pPr>
        <w:adjustRightInd w:val="0"/>
        <w:snapToGrid w:val="0"/>
        <w:spacing w:line="360" w:lineRule="auto"/>
        <w:ind w:firstLineChars="200" w:firstLine="602"/>
        <w:rPr>
          <w:rFonts w:ascii="仿宋_GB2312" w:eastAsia="仿宋_GB2312" w:hAnsi="Calibri"/>
          <w:sz w:val="30"/>
          <w:szCs w:val="30"/>
        </w:rPr>
      </w:pPr>
      <w:r w:rsidRPr="00774D5F">
        <w:rPr>
          <w:rFonts w:ascii="仿宋_GB2312" w:eastAsia="仿宋_GB2312" w:hAnsi="Calibri" w:hint="eastAsia"/>
          <w:b/>
          <w:sz w:val="30"/>
          <w:szCs w:val="30"/>
        </w:rPr>
        <w:t>第十</w:t>
      </w:r>
      <w:r>
        <w:rPr>
          <w:rFonts w:ascii="仿宋_GB2312" w:eastAsia="仿宋_GB2312" w:hAnsi="Calibri" w:hint="eastAsia"/>
          <w:b/>
          <w:sz w:val="30"/>
          <w:szCs w:val="30"/>
        </w:rPr>
        <w:t>五</w:t>
      </w:r>
      <w:r w:rsidRPr="00774D5F">
        <w:rPr>
          <w:rFonts w:ascii="仿宋_GB2312" w:eastAsia="仿宋_GB2312" w:hAnsi="Calibri" w:hint="eastAsia"/>
          <w:b/>
          <w:sz w:val="30"/>
          <w:szCs w:val="30"/>
        </w:rPr>
        <w:t>条</w:t>
      </w:r>
      <w:r w:rsidR="002F4343" w:rsidRPr="00774D5F">
        <w:rPr>
          <w:rFonts w:ascii="仿宋_GB2312" w:eastAsia="仿宋_GB2312" w:hAnsi="Calibri" w:hint="eastAsia"/>
          <w:sz w:val="30"/>
          <w:szCs w:val="30"/>
        </w:rPr>
        <w:t xml:space="preserve">　</w:t>
      </w:r>
      <w:r w:rsidRPr="00774D5F">
        <w:rPr>
          <w:rFonts w:ascii="仿宋_GB2312" w:eastAsia="仿宋_GB2312" w:hAnsi="Calibri" w:hint="eastAsia"/>
          <w:sz w:val="30"/>
          <w:szCs w:val="30"/>
        </w:rPr>
        <w:t>财政部会同有关部门，将</w:t>
      </w:r>
      <w:r>
        <w:rPr>
          <w:rFonts w:ascii="仿宋_GB2312" w:eastAsia="仿宋_GB2312" w:hAnsi="Calibri" w:hint="eastAsia"/>
          <w:sz w:val="30"/>
          <w:szCs w:val="30"/>
        </w:rPr>
        <w:t>第三方专家评审</w:t>
      </w:r>
      <w:r w:rsidRPr="00774D5F">
        <w:rPr>
          <w:rFonts w:ascii="仿宋_GB2312" w:eastAsia="仿宋_GB2312" w:hAnsi="Calibri" w:hint="eastAsia"/>
          <w:sz w:val="30"/>
          <w:szCs w:val="30"/>
        </w:rPr>
        <w:t>产生的推荐名单作为国债承销团候选成员名单，通过财政部官网和中国债券信息网向社会公示，储蓄国债承销团候选成员名单同时通过人民银行官网公示。</w:t>
      </w:r>
      <w:r>
        <w:rPr>
          <w:rFonts w:ascii="仿宋_GB2312" w:eastAsia="仿宋_GB2312" w:hAnsi="Calibri" w:hint="eastAsia"/>
          <w:sz w:val="30"/>
          <w:szCs w:val="30"/>
        </w:rPr>
        <w:t>公示期为5个工作日。</w:t>
      </w:r>
      <w:r w:rsidRPr="00774D5F">
        <w:rPr>
          <w:rFonts w:ascii="仿宋_GB2312" w:eastAsia="仿宋_GB2312" w:hAnsi="Calibri" w:hint="eastAsia"/>
          <w:sz w:val="30"/>
          <w:szCs w:val="30"/>
        </w:rPr>
        <w:t>公示期间，如有机构或人员对结果提出异议，</w:t>
      </w:r>
      <w:r>
        <w:rPr>
          <w:rFonts w:ascii="仿宋_GB2312" w:eastAsia="仿宋_GB2312" w:hAnsi="Calibri" w:hint="eastAsia"/>
          <w:sz w:val="30"/>
          <w:szCs w:val="30"/>
        </w:rPr>
        <w:t>由</w:t>
      </w:r>
      <w:r w:rsidRPr="00774D5F">
        <w:rPr>
          <w:rFonts w:ascii="仿宋_GB2312" w:eastAsia="仿宋_GB2312" w:hAnsi="Calibri" w:hint="eastAsia"/>
          <w:sz w:val="30"/>
          <w:szCs w:val="30"/>
        </w:rPr>
        <w:t>财政部会同有关部门进行复核确认。</w:t>
      </w:r>
    </w:p>
    <w:p w:rsidR="00654C19" w:rsidRPr="00774D5F" w:rsidRDefault="00654C19" w:rsidP="00654C19">
      <w:pPr>
        <w:adjustRightInd w:val="0"/>
        <w:snapToGrid w:val="0"/>
        <w:spacing w:line="360" w:lineRule="auto"/>
        <w:ind w:firstLineChars="200" w:firstLine="602"/>
        <w:rPr>
          <w:rFonts w:ascii="仿宋_GB2312" w:eastAsia="仿宋_GB2312" w:hAnsi="Calibri"/>
          <w:sz w:val="30"/>
          <w:szCs w:val="30"/>
        </w:rPr>
      </w:pPr>
      <w:r w:rsidRPr="00774D5F">
        <w:rPr>
          <w:rFonts w:ascii="仿宋_GB2312" w:eastAsia="仿宋_GB2312" w:hAnsi="Calibri" w:hint="eastAsia"/>
          <w:b/>
          <w:sz w:val="30"/>
          <w:szCs w:val="30"/>
        </w:rPr>
        <w:t>第十</w:t>
      </w:r>
      <w:r>
        <w:rPr>
          <w:rFonts w:ascii="仿宋_GB2312" w:eastAsia="仿宋_GB2312" w:hAnsi="Calibri" w:hint="eastAsia"/>
          <w:b/>
          <w:sz w:val="30"/>
          <w:szCs w:val="30"/>
        </w:rPr>
        <w:t>六</w:t>
      </w:r>
      <w:r w:rsidRPr="00774D5F">
        <w:rPr>
          <w:rFonts w:ascii="仿宋_GB2312" w:eastAsia="仿宋_GB2312" w:hAnsi="Calibri" w:hint="eastAsia"/>
          <w:b/>
          <w:sz w:val="30"/>
          <w:szCs w:val="30"/>
        </w:rPr>
        <w:t>条</w:t>
      </w:r>
      <w:r w:rsidR="002F4343" w:rsidRPr="00774D5F">
        <w:rPr>
          <w:rFonts w:ascii="仿宋_GB2312" w:eastAsia="仿宋_GB2312" w:hAnsi="Calibri" w:hint="eastAsia"/>
          <w:sz w:val="30"/>
          <w:szCs w:val="30"/>
        </w:rPr>
        <w:t xml:space="preserve">　</w:t>
      </w:r>
      <w:r w:rsidRPr="00774D5F">
        <w:rPr>
          <w:rFonts w:ascii="仿宋_GB2312" w:eastAsia="仿宋_GB2312" w:hAnsi="Calibri" w:hint="eastAsia"/>
          <w:sz w:val="30"/>
          <w:szCs w:val="30"/>
        </w:rPr>
        <w:t>财政部应当与国债承销团候选成员按照</w:t>
      </w:r>
      <w:r w:rsidR="00113503">
        <w:rPr>
          <w:rFonts w:ascii="仿宋_GB2312" w:eastAsia="仿宋_GB2312" w:hAnsi="Calibri" w:hint="eastAsia"/>
          <w:sz w:val="30"/>
          <w:szCs w:val="30"/>
        </w:rPr>
        <w:t>国家</w:t>
      </w:r>
      <w:r w:rsidRPr="00774D5F">
        <w:rPr>
          <w:rFonts w:ascii="仿宋_GB2312" w:eastAsia="仿宋_GB2312" w:hAnsi="Calibri" w:hint="eastAsia"/>
          <w:sz w:val="30"/>
          <w:szCs w:val="30"/>
        </w:rPr>
        <w:t>有关规定，在平等自愿基础上，签订国债承销协议，并向社会公布国债承销团成员名单。国债承销协议有效期原则上不超过3年。</w:t>
      </w:r>
    </w:p>
    <w:p w:rsidR="00654C19" w:rsidRPr="00774D5F" w:rsidRDefault="00654C19" w:rsidP="00654C19">
      <w:pPr>
        <w:adjustRightInd w:val="0"/>
        <w:snapToGrid w:val="0"/>
        <w:spacing w:line="360" w:lineRule="auto"/>
        <w:ind w:firstLineChars="200" w:firstLine="602"/>
        <w:rPr>
          <w:rFonts w:ascii="仿宋_GB2312" w:eastAsia="仿宋_GB2312" w:hAnsi="Calibri"/>
          <w:sz w:val="30"/>
          <w:szCs w:val="30"/>
        </w:rPr>
      </w:pPr>
      <w:r w:rsidRPr="00774D5F">
        <w:rPr>
          <w:rFonts w:ascii="仿宋_GB2312" w:eastAsia="仿宋_GB2312" w:hAnsi="Calibri" w:hint="eastAsia"/>
          <w:b/>
          <w:sz w:val="30"/>
          <w:szCs w:val="30"/>
        </w:rPr>
        <w:t>第十</w:t>
      </w:r>
      <w:r>
        <w:rPr>
          <w:rFonts w:ascii="仿宋_GB2312" w:eastAsia="仿宋_GB2312" w:hAnsi="Calibri" w:hint="eastAsia"/>
          <w:b/>
          <w:sz w:val="30"/>
          <w:szCs w:val="30"/>
        </w:rPr>
        <w:t>七</w:t>
      </w:r>
      <w:r w:rsidRPr="00774D5F">
        <w:rPr>
          <w:rFonts w:ascii="仿宋_GB2312" w:eastAsia="仿宋_GB2312" w:hAnsi="Calibri" w:hint="eastAsia"/>
          <w:b/>
          <w:sz w:val="30"/>
          <w:szCs w:val="30"/>
        </w:rPr>
        <w:t>条</w:t>
      </w:r>
      <w:r w:rsidR="002F4343" w:rsidRPr="00774D5F">
        <w:rPr>
          <w:rFonts w:ascii="仿宋_GB2312" w:eastAsia="仿宋_GB2312" w:hAnsi="Calibri" w:hint="eastAsia"/>
          <w:sz w:val="30"/>
          <w:szCs w:val="30"/>
        </w:rPr>
        <w:t xml:space="preserve">　</w:t>
      </w:r>
      <w:r w:rsidRPr="00774D5F">
        <w:rPr>
          <w:rFonts w:ascii="仿宋_GB2312" w:eastAsia="仿宋_GB2312" w:hAnsi="Calibri" w:hint="eastAsia"/>
          <w:sz w:val="30"/>
          <w:szCs w:val="30"/>
        </w:rPr>
        <w:t>财政部应当按照科学、规范、公平、公开和有利于提升国债承销团成员履约水平的原则，对记账式国债承销团成员履约情况进行综合排名；会同人民银行对储蓄国债承销团成员履约情况进行综合排名。综合排名有关事宜应当在国债承销协议中进行约定。</w:t>
      </w:r>
    </w:p>
    <w:p w:rsidR="00654C19" w:rsidRPr="00774D5F" w:rsidRDefault="00654C19" w:rsidP="002F4343">
      <w:pPr>
        <w:spacing w:beforeLines="50" w:afterLines="50"/>
        <w:jc w:val="center"/>
        <w:rPr>
          <w:rFonts w:ascii="仿宋_GB2312" w:eastAsia="仿宋_GB2312" w:hAnsi="仿宋"/>
          <w:b/>
          <w:sz w:val="32"/>
          <w:szCs w:val="32"/>
        </w:rPr>
      </w:pPr>
      <w:r w:rsidRPr="00774D5F">
        <w:rPr>
          <w:rFonts w:ascii="仿宋_GB2312" w:eastAsia="仿宋_GB2312" w:hAnsi="仿宋" w:hint="eastAsia"/>
          <w:b/>
          <w:sz w:val="32"/>
          <w:szCs w:val="32"/>
        </w:rPr>
        <w:lastRenderedPageBreak/>
        <w:t>第五章　退出与增补</w:t>
      </w:r>
    </w:p>
    <w:p w:rsidR="00654C19" w:rsidRPr="00774D5F" w:rsidRDefault="00654C19" w:rsidP="003169C4">
      <w:pPr>
        <w:adjustRightInd w:val="0"/>
        <w:snapToGrid w:val="0"/>
        <w:spacing w:line="360" w:lineRule="auto"/>
        <w:ind w:firstLine="602"/>
        <w:rPr>
          <w:rFonts w:ascii="仿宋_GB2312" w:eastAsia="仿宋_GB2312" w:hAnsi="Calibri"/>
          <w:sz w:val="30"/>
          <w:szCs w:val="30"/>
        </w:rPr>
      </w:pPr>
      <w:r w:rsidRPr="00774D5F">
        <w:rPr>
          <w:rFonts w:ascii="仿宋_GB2312" w:eastAsia="仿宋_GB2312" w:hAnsi="Calibri" w:hint="eastAsia"/>
          <w:b/>
          <w:sz w:val="30"/>
          <w:szCs w:val="30"/>
        </w:rPr>
        <w:t>第十</w:t>
      </w:r>
      <w:r>
        <w:rPr>
          <w:rFonts w:ascii="仿宋_GB2312" w:eastAsia="仿宋_GB2312" w:hAnsi="Calibri" w:hint="eastAsia"/>
          <w:b/>
          <w:sz w:val="30"/>
          <w:szCs w:val="30"/>
        </w:rPr>
        <w:t>八</w:t>
      </w:r>
      <w:r w:rsidRPr="00774D5F">
        <w:rPr>
          <w:rFonts w:ascii="仿宋_GB2312" w:eastAsia="仿宋_GB2312" w:hAnsi="Calibri" w:hint="eastAsia"/>
          <w:b/>
          <w:sz w:val="30"/>
          <w:szCs w:val="30"/>
        </w:rPr>
        <w:t>条</w:t>
      </w:r>
      <w:r w:rsidR="002F4343" w:rsidRPr="00774D5F">
        <w:rPr>
          <w:rFonts w:ascii="仿宋_GB2312" w:eastAsia="仿宋_GB2312" w:hAnsi="Calibri" w:hint="eastAsia"/>
          <w:sz w:val="30"/>
          <w:szCs w:val="30"/>
        </w:rPr>
        <w:t xml:space="preserve">　</w:t>
      </w:r>
      <w:r w:rsidRPr="00774D5F">
        <w:rPr>
          <w:rFonts w:ascii="仿宋_GB2312" w:eastAsia="仿宋_GB2312" w:hAnsi="Calibri" w:hint="eastAsia"/>
          <w:sz w:val="30"/>
          <w:szCs w:val="30"/>
        </w:rPr>
        <w:t>国债承销团成员可以根据国债承销协议的约定，自愿申请退出国债承销团。财政部应</w:t>
      </w:r>
      <w:r>
        <w:rPr>
          <w:rFonts w:ascii="仿宋_GB2312" w:eastAsia="仿宋_GB2312" w:hAnsi="Calibri" w:hint="eastAsia"/>
          <w:sz w:val="30"/>
          <w:szCs w:val="30"/>
        </w:rPr>
        <w:t>当</w:t>
      </w:r>
      <w:r w:rsidRPr="00774D5F">
        <w:rPr>
          <w:rFonts w:ascii="仿宋_GB2312" w:eastAsia="仿宋_GB2312" w:hAnsi="Calibri" w:hint="eastAsia"/>
          <w:sz w:val="30"/>
          <w:szCs w:val="30"/>
        </w:rPr>
        <w:t>会同有关部门予以确认，并向社会公布。申请退出的国债承销团成员，在获得确认之前，应当按照国债承销协议的约定，继续履行国债承销协议。</w:t>
      </w:r>
    </w:p>
    <w:p w:rsidR="00654C19" w:rsidRPr="00774D5F" w:rsidRDefault="00654C19" w:rsidP="00654C19">
      <w:pPr>
        <w:adjustRightInd w:val="0"/>
        <w:snapToGrid w:val="0"/>
        <w:spacing w:line="360" w:lineRule="auto"/>
        <w:ind w:firstLineChars="200" w:firstLine="602"/>
        <w:rPr>
          <w:rFonts w:ascii="仿宋_GB2312" w:eastAsia="仿宋_GB2312" w:hAnsi="Calibri"/>
          <w:sz w:val="30"/>
          <w:szCs w:val="30"/>
        </w:rPr>
      </w:pPr>
      <w:r w:rsidRPr="00774D5F">
        <w:rPr>
          <w:rFonts w:ascii="仿宋_GB2312" w:eastAsia="仿宋_GB2312" w:hAnsi="Calibri" w:hint="eastAsia"/>
          <w:b/>
          <w:sz w:val="30"/>
          <w:szCs w:val="30"/>
        </w:rPr>
        <w:t>第十</w:t>
      </w:r>
      <w:r>
        <w:rPr>
          <w:rFonts w:ascii="仿宋_GB2312" w:eastAsia="仿宋_GB2312" w:hAnsi="Calibri" w:hint="eastAsia"/>
          <w:b/>
          <w:sz w:val="30"/>
          <w:szCs w:val="30"/>
        </w:rPr>
        <w:t>九</w:t>
      </w:r>
      <w:r w:rsidRPr="00774D5F">
        <w:rPr>
          <w:rFonts w:ascii="仿宋_GB2312" w:eastAsia="仿宋_GB2312" w:hAnsi="Calibri" w:hint="eastAsia"/>
          <w:b/>
          <w:sz w:val="30"/>
          <w:szCs w:val="30"/>
        </w:rPr>
        <w:t>条</w:t>
      </w:r>
      <w:r w:rsidR="002F4343" w:rsidRPr="00774D5F">
        <w:rPr>
          <w:rFonts w:ascii="仿宋_GB2312" w:eastAsia="仿宋_GB2312" w:hAnsi="Calibri" w:hint="eastAsia"/>
          <w:sz w:val="30"/>
          <w:szCs w:val="30"/>
        </w:rPr>
        <w:t xml:space="preserve">　</w:t>
      </w:r>
      <w:r w:rsidRPr="00774D5F">
        <w:rPr>
          <w:rFonts w:ascii="仿宋_GB2312" w:eastAsia="仿宋_GB2312" w:hAnsi="Calibri" w:hint="eastAsia"/>
          <w:sz w:val="30"/>
          <w:szCs w:val="30"/>
        </w:rPr>
        <w:t>国债承销团成员出现下列行为的，财政部应当会同有关部门，根据国债承销协议的约定通知其退出国债承销团</w:t>
      </w:r>
      <w:r>
        <w:rPr>
          <w:rFonts w:ascii="仿宋_GB2312" w:eastAsia="仿宋_GB2312" w:hAnsi="Calibri" w:hint="eastAsia"/>
          <w:sz w:val="30"/>
          <w:szCs w:val="30"/>
        </w:rPr>
        <w:t>：</w:t>
      </w:r>
    </w:p>
    <w:p w:rsidR="00654C19" w:rsidRPr="00774D5F" w:rsidRDefault="00654C19" w:rsidP="00654C19">
      <w:pPr>
        <w:adjustRightInd w:val="0"/>
        <w:snapToGrid w:val="0"/>
        <w:spacing w:line="360" w:lineRule="auto"/>
        <w:ind w:firstLineChars="200" w:firstLine="600"/>
        <w:rPr>
          <w:rFonts w:ascii="仿宋_GB2312" w:eastAsia="仿宋_GB2312" w:hAnsi="Calibri"/>
          <w:sz w:val="30"/>
          <w:szCs w:val="30"/>
        </w:rPr>
      </w:pPr>
      <w:r w:rsidRPr="00774D5F">
        <w:rPr>
          <w:rFonts w:ascii="仿宋_GB2312" w:eastAsia="仿宋_GB2312" w:hAnsi="Calibri" w:hint="eastAsia"/>
          <w:sz w:val="30"/>
          <w:szCs w:val="30"/>
        </w:rPr>
        <w:t>（一）以欺骗、利益输送等不正当手段加入国债承销团的。</w:t>
      </w:r>
    </w:p>
    <w:p w:rsidR="00654C19" w:rsidRPr="00774D5F" w:rsidRDefault="00654C19" w:rsidP="00654C19">
      <w:pPr>
        <w:adjustRightInd w:val="0"/>
        <w:snapToGrid w:val="0"/>
        <w:spacing w:line="360" w:lineRule="auto"/>
        <w:ind w:firstLineChars="200" w:firstLine="600"/>
        <w:rPr>
          <w:rFonts w:ascii="仿宋_GB2312" w:eastAsia="仿宋_GB2312" w:hAnsi="Calibri"/>
          <w:sz w:val="30"/>
          <w:szCs w:val="30"/>
        </w:rPr>
      </w:pPr>
      <w:r w:rsidRPr="00774D5F">
        <w:rPr>
          <w:rFonts w:ascii="仿宋_GB2312" w:eastAsia="仿宋_GB2312" w:hAnsi="Calibri" w:hint="eastAsia"/>
          <w:sz w:val="30"/>
          <w:szCs w:val="30"/>
        </w:rPr>
        <w:t>（二）财务状况恶化，难以继续履行国债承销团成员义务的。</w:t>
      </w:r>
    </w:p>
    <w:p w:rsidR="00654C19" w:rsidRPr="00774D5F" w:rsidRDefault="00654C19" w:rsidP="00654C19">
      <w:pPr>
        <w:adjustRightInd w:val="0"/>
        <w:snapToGrid w:val="0"/>
        <w:spacing w:line="360" w:lineRule="auto"/>
        <w:ind w:firstLineChars="200" w:firstLine="600"/>
        <w:rPr>
          <w:rFonts w:ascii="仿宋_GB2312" w:eastAsia="仿宋_GB2312" w:hAnsi="Calibri"/>
          <w:sz w:val="30"/>
          <w:szCs w:val="30"/>
        </w:rPr>
      </w:pPr>
      <w:r w:rsidRPr="00774D5F">
        <w:rPr>
          <w:rFonts w:ascii="仿宋_GB2312" w:eastAsia="仿宋_GB2312" w:hAnsi="Calibri" w:hint="eastAsia"/>
          <w:sz w:val="30"/>
          <w:szCs w:val="30"/>
        </w:rPr>
        <w:t>（三）储蓄国债承销团成员违规委托其他机构代理销售储蓄国债</w:t>
      </w:r>
      <w:r w:rsidR="003B5E83">
        <w:rPr>
          <w:rFonts w:ascii="仿宋_GB2312" w:eastAsia="仿宋_GB2312" w:hAnsi="Calibri" w:hint="eastAsia"/>
          <w:sz w:val="30"/>
          <w:szCs w:val="30"/>
        </w:rPr>
        <w:t>；</w:t>
      </w:r>
      <w:r w:rsidRPr="00774D5F">
        <w:rPr>
          <w:rFonts w:ascii="仿宋_GB2312" w:eastAsia="仿宋_GB2312" w:hAnsi="Calibri" w:hint="eastAsia"/>
          <w:sz w:val="30"/>
          <w:szCs w:val="30"/>
        </w:rPr>
        <w:t>盗用储蓄国债名义发售债券或揽储；超额度销售储蓄国债且未及时更正，最终造成当期国债超额发行；出现伪造</w:t>
      </w:r>
      <w:r w:rsidR="003B5E83">
        <w:rPr>
          <w:rFonts w:ascii="仿宋_GB2312" w:eastAsia="仿宋_GB2312" w:hAnsi="Calibri" w:hint="eastAsia"/>
          <w:sz w:val="30"/>
          <w:szCs w:val="30"/>
        </w:rPr>
        <w:t>国债</w:t>
      </w:r>
      <w:r w:rsidRPr="00774D5F">
        <w:rPr>
          <w:rFonts w:ascii="仿宋_GB2312" w:eastAsia="仿宋_GB2312" w:hAnsi="Calibri" w:hint="eastAsia"/>
          <w:sz w:val="30"/>
          <w:szCs w:val="30"/>
        </w:rPr>
        <w:t>账务记录、出具虚假债权托管证明，泄露投资者账户秘密，发布关于储蓄国债虚假信息等重大违法行为或者严重违反储蓄国债相关管理政策规定行为的。</w:t>
      </w:r>
    </w:p>
    <w:p w:rsidR="00654C19" w:rsidRDefault="00654C19" w:rsidP="00654C19">
      <w:pPr>
        <w:adjustRightInd w:val="0"/>
        <w:snapToGrid w:val="0"/>
        <w:spacing w:line="360" w:lineRule="auto"/>
        <w:ind w:firstLineChars="200" w:firstLine="600"/>
        <w:rPr>
          <w:rFonts w:ascii="仿宋_GB2312" w:eastAsia="仿宋_GB2312" w:hAnsi="Calibri"/>
          <w:sz w:val="30"/>
          <w:szCs w:val="30"/>
        </w:rPr>
      </w:pPr>
      <w:r w:rsidRPr="00774D5F">
        <w:rPr>
          <w:rFonts w:ascii="仿宋_GB2312" w:eastAsia="仿宋_GB2312" w:hAnsi="Calibri" w:hint="eastAsia"/>
          <w:sz w:val="30"/>
          <w:szCs w:val="30"/>
        </w:rPr>
        <w:t>（四）记账式国债承销团成员严重不正当投标、操纵二级市场；超承销额度分销，违规向记账式国债承销团其他成员分销；</w:t>
      </w:r>
      <w:r>
        <w:rPr>
          <w:rFonts w:ascii="仿宋_GB2312" w:eastAsia="仿宋_GB2312" w:hAnsi="Calibri" w:hint="eastAsia"/>
          <w:sz w:val="30"/>
          <w:szCs w:val="30"/>
        </w:rPr>
        <w:t>出现</w:t>
      </w:r>
      <w:r w:rsidRPr="00774D5F">
        <w:rPr>
          <w:rFonts w:ascii="仿宋_GB2312" w:eastAsia="仿宋_GB2312" w:hAnsi="Calibri" w:hint="eastAsia"/>
          <w:sz w:val="30"/>
          <w:szCs w:val="30"/>
        </w:rPr>
        <w:t>伪造国债账务记录，发布关于记账式国债虚假信息等重大违法行为或者严重违反记账式国债相关管理政策规定行为的。</w:t>
      </w:r>
    </w:p>
    <w:p w:rsidR="0099400A" w:rsidRPr="00774D5F" w:rsidRDefault="0099400A" w:rsidP="00654C19">
      <w:pPr>
        <w:adjustRightInd w:val="0"/>
        <w:snapToGrid w:val="0"/>
        <w:spacing w:line="360" w:lineRule="auto"/>
        <w:ind w:firstLineChars="200" w:firstLine="600"/>
        <w:rPr>
          <w:rFonts w:ascii="仿宋_GB2312" w:eastAsia="仿宋_GB2312" w:hAnsi="Calibri"/>
          <w:sz w:val="30"/>
          <w:szCs w:val="30"/>
        </w:rPr>
      </w:pPr>
      <w:r>
        <w:rPr>
          <w:rFonts w:ascii="仿宋_GB2312" w:eastAsia="仿宋_GB2312" w:hAnsi="Calibri" w:hint="eastAsia"/>
          <w:sz w:val="30"/>
          <w:szCs w:val="30"/>
        </w:rPr>
        <w:t>（五）</w:t>
      </w:r>
      <w:r w:rsidR="00295963">
        <w:rPr>
          <w:rFonts w:ascii="仿宋_GB2312" w:eastAsia="仿宋_GB2312" w:hAnsi="Calibri" w:hint="eastAsia"/>
          <w:sz w:val="30"/>
          <w:szCs w:val="30"/>
        </w:rPr>
        <w:t>根据有关监管规定</w:t>
      </w:r>
      <w:r w:rsidR="00467835" w:rsidRPr="00467835">
        <w:rPr>
          <w:rFonts w:ascii="仿宋_GB2312" w:eastAsia="仿宋_GB2312" w:hAnsi="Calibri" w:hint="eastAsia"/>
          <w:sz w:val="30"/>
          <w:szCs w:val="30"/>
        </w:rPr>
        <w:t>，不再具备继续承</w:t>
      </w:r>
      <w:bookmarkStart w:id="1" w:name="_GoBack"/>
      <w:bookmarkEnd w:id="1"/>
      <w:r w:rsidR="00467835" w:rsidRPr="00467835">
        <w:rPr>
          <w:rFonts w:ascii="仿宋_GB2312" w:eastAsia="仿宋_GB2312" w:hAnsi="Calibri" w:hint="eastAsia"/>
          <w:sz w:val="30"/>
          <w:szCs w:val="30"/>
        </w:rPr>
        <w:t>销政府债券资格</w:t>
      </w:r>
      <w:r w:rsidR="00295963">
        <w:rPr>
          <w:rFonts w:ascii="仿宋_GB2312" w:eastAsia="仿宋_GB2312" w:hAnsi="Calibri" w:hint="eastAsia"/>
          <w:sz w:val="30"/>
          <w:szCs w:val="30"/>
        </w:rPr>
        <w:t>的</w:t>
      </w:r>
      <w:r>
        <w:rPr>
          <w:rFonts w:ascii="仿宋_GB2312" w:eastAsia="仿宋_GB2312" w:hAnsi="Calibri" w:hint="eastAsia"/>
          <w:sz w:val="30"/>
          <w:szCs w:val="30"/>
        </w:rPr>
        <w:t>。</w:t>
      </w:r>
    </w:p>
    <w:p w:rsidR="00654C19" w:rsidRPr="00774D5F" w:rsidRDefault="00654C19" w:rsidP="00654C19">
      <w:pPr>
        <w:adjustRightInd w:val="0"/>
        <w:snapToGrid w:val="0"/>
        <w:spacing w:line="360" w:lineRule="auto"/>
        <w:ind w:firstLineChars="200" w:firstLine="600"/>
        <w:rPr>
          <w:rFonts w:ascii="仿宋_GB2312" w:eastAsia="仿宋_GB2312" w:hAnsi="Calibri"/>
          <w:sz w:val="30"/>
          <w:szCs w:val="30"/>
        </w:rPr>
      </w:pPr>
      <w:r w:rsidRPr="00774D5F">
        <w:rPr>
          <w:rFonts w:ascii="仿宋_GB2312" w:eastAsia="仿宋_GB2312" w:hAnsi="Calibri" w:hint="eastAsia"/>
          <w:sz w:val="30"/>
          <w:szCs w:val="30"/>
        </w:rPr>
        <w:t>（</w:t>
      </w:r>
      <w:r w:rsidR="0099400A">
        <w:rPr>
          <w:rFonts w:ascii="仿宋_GB2312" w:eastAsia="仿宋_GB2312" w:hAnsi="Calibri" w:hint="eastAsia"/>
          <w:sz w:val="30"/>
          <w:szCs w:val="30"/>
        </w:rPr>
        <w:t>六</w:t>
      </w:r>
      <w:r w:rsidRPr="00774D5F">
        <w:rPr>
          <w:rFonts w:ascii="仿宋_GB2312" w:eastAsia="仿宋_GB2312" w:hAnsi="Calibri" w:hint="eastAsia"/>
          <w:sz w:val="30"/>
          <w:szCs w:val="30"/>
        </w:rPr>
        <w:t>）严重违反国债承销协议其他相关约定的。</w:t>
      </w:r>
    </w:p>
    <w:p w:rsidR="00654C19" w:rsidRPr="00774D5F" w:rsidRDefault="00654C19" w:rsidP="00654C19">
      <w:pPr>
        <w:adjustRightInd w:val="0"/>
        <w:snapToGrid w:val="0"/>
        <w:spacing w:line="360" w:lineRule="auto"/>
        <w:ind w:firstLineChars="200" w:firstLine="602"/>
        <w:rPr>
          <w:rFonts w:ascii="仿宋_GB2312" w:eastAsia="仿宋_GB2312" w:hAnsi="Calibri"/>
          <w:sz w:val="30"/>
          <w:szCs w:val="30"/>
        </w:rPr>
      </w:pPr>
      <w:r w:rsidRPr="00774D5F">
        <w:rPr>
          <w:rFonts w:ascii="仿宋_GB2312" w:eastAsia="仿宋_GB2312" w:hAnsi="Calibri" w:hint="eastAsia"/>
          <w:b/>
          <w:sz w:val="30"/>
          <w:szCs w:val="30"/>
        </w:rPr>
        <w:t>第</w:t>
      </w:r>
      <w:r>
        <w:rPr>
          <w:rFonts w:ascii="仿宋_GB2312" w:eastAsia="仿宋_GB2312" w:hAnsi="Calibri" w:hint="eastAsia"/>
          <w:b/>
          <w:sz w:val="30"/>
          <w:szCs w:val="30"/>
        </w:rPr>
        <w:t>二十</w:t>
      </w:r>
      <w:r w:rsidRPr="00774D5F">
        <w:rPr>
          <w:rFonts w:ascii="仿宋_GB2312" w:eastAsia="仿宋_GB2312" w:hAnsi="Calibri" w:hint="eastAsia"/>
          <w:b/>
          <w:sz w:val="30"/>
          <w:szCs w:val="30"/>
        </w:rPr>
        <w:t>条</w:t>
      </w:r>
      <w:r w:rsidR="002F4343" w:rsidRPr="00774D5F">
        <w:rPr>
          <w:rFonts w:ascii="仿宋_GB2312" w:eastAsia="仿宋_GB2312" w:hAnsi="Calibri" w:hint="eastAsia"/>
          <w:sz w:val="30"/>
          <w:szCs w:val="30"/>
        </w:rPr>
        <w:t xml:space="preserve">　</w:t>
      </w:r>
      <w:r w:rsidRPr="00774D5F">
        <w:rPr>
          <w:rFonts w:ascii="仿宋_GB2312" w:eastAsia="仿宋_GB2312" w:hAnsi="Calibri" w:hint="eastAsia"/>
          <w:sz w:val="30"/>
          <w:szCs w:val="30"/>
        </w:rPr>
        <w:t>国债承销团成员退出国债承销团</w:t>
      </w:r>
      <w:r>
        <w:rPr>
          <w:rFonts w:ascii="仿宋_GB2312" w:eastAsia="仿宋_GB2312" w:hAnsi="Calibri" w:hint="eastAsia"/>
          <w:sz w:val="30"/>
          <w:szCs w:val="30"/>
        </w:rPr>
        <w:t>的</w:t>
      </w:r>
      <w:r w:rsidRPr="00774D5F">
        <w:rPr>
          <w:rFonts w:ascii="仿宋_GB2312" w:eastAsia="仿宋_GB2312" w:hAnsi="Calibri" w:hint="eastAsia"/>
          <w:sz w:val="30"/>
          <w:szCs w:val="30"/>
        </w:rPr>
        <w:t>，自财政部会</w:t>
      </w:r>
      <w:r w:rsidRPr="00774D5F">
        <w:rPr>
          <w:rFonts w:ascii="仿宋_GB2312" w:eastAsia="仿宋_GB2312" w:hAnsi="Calibri" w:hint="eastAsia"/>
          <w:sz w:val="30"/>
          <w:szCs w:val="30"/>
        </w:rPr>
        <w:lastRenderedPageBreak/>
        <w:t>同有关部门确认之日起，财政部应当终止与其签订的国债承销协议</w:t>
      </w:r>
      <w:r>
        <w:rPr>
          <w:rFonts w:ascii="仿宋_GB2312" w:eastAsia="仿宋_GB2312" w:hAnsi="Calibri" w:hint="eastAsia"/>
          <w:sz w:val="30"/>
          <w:szCs w:val="30"/>
        </w:rPr>
        <w:t>。储蓄国债承销团成员退出后，</w:t>
      </w:r>
      <w:r w:rsidRPr="00934A0F">
        <w:rPr>
          <w:rFonts w:ascii="仿宋_GB2312" w:eastAsia="仿宋_GB2312" w:hAnsi="Calibri" w:hint="eastAsia"/>
          <w:sz w:val="30"/>
          <w:szCs w:val="30"/>
        </w:rPr>
        <w:t>对其托管的尚未到期的储蓄国债，</w:t>
      </w:r>
      <w:r>
        <w:rPr>
          <w:rFonts w:ascii="仿宋_GB2312" w:eastAsia="仿宋_GB2312" w:hAnsi="Calibri" w:hint="eastAsia"/>
          <w:sz w:val="30"/>
          <w:szCs w:val="30"/>
        </w:rPr>
        <w:t>应当</w:t>
      </w:r>
      <w:r w:rsidRPr="00934A0F">
        <w:rPr>
          <w:rFonts w:ascii="仿宋_GB2312" w:eastAsia="仿宋_GB2312" w:hAnsi="Calibri" w:hint="eastAsia"/>
          <w:sz w:val="30"/>
          <w:szCs w:val="30"/>
        </w:rPr>
        <w:t>按规定继续办理除储蓄国债认购以外的各项业务，并做好相关国债托管和资金清算工作。</w:t>
      </w:r>
    </w:p>
    <w:p w:rsidR="00654C19" w:rsidRPr="00774D5F" w:rsidRDefault="00654C19" w:rsidP="00654C19">
      <w:pPr>
        <w:adjustRightInd w:val="0"/>
        <w:snapToGrid w:val="0"/>
        <w:spacing w:line="360" w:lineRule="auto"/>
        <w:ind w:firstLineChars="200" w:firstLine="602"/>
        <w:rPr>
          <w:rFonts w:ascii="仿宋_GB2312" w:eastAsia="仿宋_GB2312" w:hAnsi="Calibri"/>
          <w:sz w:val="30"/>
          <w:szCs w:val="30"/>
        </w:rPr>
      </w:pPr>
      <w:r w:rsidRPr="00774D5F">
        <w:rPr>
          <w:rFonts w:ascii="仿宋_GB2312" w:eastAsia="仿宋_GB2312" w:hAnsi="Calibri" w:hint="eastAsia"/>
          <w:b/>
          <w:sz w:val="30"/>
          <w:szCs w:val="30"/>
        </w:rPr>
        <w:t>第</w:t>
      </w:r>
      <w:r>
        <w:rPr>
          <w:rFonts w:ascii="仿宋_GB2312" w:eastAsia="仿宋_GB2312" w:hAnsi="Calibri" w:hint="eastAsia"/>
          <w:b/>
          <w:sz w:val="30"/>
          <w:szCs w:val="30"/>
        </w:rPr>
        <w:t>二十一</w:t>
      </w:r>
      <w:r w:rsidRPr="00774D5F">
        <w:rPr>
          <w:rFonts w:ascii="仿宋_GB2312" w:eastAsia="仿宋_GB2312" w:hAnsi="Calibri" w:hint="eastAsia"/>
          <w:b/>
          <w:sz w:val="30"/>
          <w:szCs w:val="30"/>
        </w:rPr>
        <w:t>条</w:t>
      </w:r>
      <w:r w:rsidR="002F4343" w:rsidRPr="00774D5F">
        <w:rPr>
          <w:rFonts w:ascii="仿宋_GB2312" w:eastAsia="仿宋_GB2312" w:hAnsi="Calibri" w:hint="eastAsia"/>
          <w:sz w:val="30"/>
          <w:szCs w:val="30"/>
        </w:rPr>
        <w:t xml:space="preserve">　</w:t>
      </w:r>
      <w:r w:rsidRPr="00774D5F">
        <w:rPr>
          <w:rFonts w:ascii="仿宋_GB2312" w:eastAsia="仿宋_GB2312" w:hAnsi="Calibri" w:hint="eastAsia"/>
          <w:sz w:val="30"/>
          <w:szCs w:val="30"/>
        </w:rPr>
        <w:t>财政部可以根据国债发行需要，会同有关部门按照本办法规定的</w:t>
      </w:r>
      <w:r>
        <w:rPr>
          <w:rFonts w:ascii="仿宋_GB2312" w:eastAsia="仿宋_GB2312" w:hAnsi="Calibri" w:hint="eastAsia"/>
          <w:sz w:val="30"/>
          <w:szCs w:val="30"/>
        </w:rPr>
        <w:t>第三方专家评审</w:t>
      </w:r>
      <w:r w:rsidRPr="00774D5F">
        <w:rPr>
          <w:rFonts w:ascii="仿宋_GB2312" w:eastAsia="仿宋_GB2312" w:hAnsi="Calibri" w:hint="eastAsia"/>
          <w:sz w:val="30"/>
          <w:szCs w:val="30"/>
        </w:rPr>
        <w:t>方式增补国债承销团成员，并将增补情况及时向社会公布。</w:t>
      </w:r>
    </w:p>
    <w:p w:rsidR="00654C19" w:rsidRPr="00774D5F" w:rsidRDefault="009317E2" w:rsidP="002F4343">
      <w:pPr>
        <w:spacing w:beforeLines="50" w:afterLines="50"/>
        <w:jc w:val="center"/>
        <w:rPr>
          <w:rFonts w:ascii="仿宋_GB2312" w:eastAsia="仿宋_GB2312" w:hAnsi="仿宋"/>
          <w:b/>
          <w:sz w:val="32"/>
          <w:szCs w:val="32"/>
        </w:rPr>
      </w:pPr>
      <w:r>
        <w:rPr>
          <w:rFonts w:ascii="仿宋_GB2312" w:eastAsia="仿宋_GB2312" w:hAnsi="仿宋" w:hint="eastAsia"/>
          <w:b/>
          <w:sz w:val="32"/>
          <w:szCs w:val="32"/>
        </w:rPr>
        <w:t>第六章　附</w:t>
      </w:r>
      <w:r w:rsidR="00654C19" w:rsidRPr="00774D5F">
        <w:rPr>
          <w:rFonts w:ascii="仿宋_GB2312" w:eastAsia="仿宋_GB2312" w:hAnsi="仿宋" w:hint="eastAsia"/>
          <w:b/>
          <w:sz w:val="32"/>
          <w:szCs w:val="32"/>
        </w:rPr>
        <w:t>则</w:t>
      </w:r>
    </w:p>
    <w:p w:rsidR="00654C19" w:rsidRPr="00774D5F" w:rsidRDefault="00654C19" w:rsidP="00654C19">
      <w:pPr>
        <w:adjustRightInd w:val="0"/>
        <w:snapToGrid w:val="0"/>
        <w:spacing w:line="360" w:lineRule="auto"/>
        <w:ind w:firstLineChars="200" w:firstLine="602"/>
        <w:rPr>
          <w:rFonts w:ascii="仿宋_GB2312" w:eastAsia="仿宋_GB2312" w:hAnsi="Calibri"/>
          <w:sz w:val="30"/>
          <w:szCs w:val="30"/>
        </w:rPr>
      </w:pPr>
      <w:r w:rsidRPr="00774D5F">
        <w:rPr>
          <w:rFonts w:ascii="仿宋_GB2312" w:eastAsia="仿宋_GB2312" w:hAnsi="Calibri" w:hint="eastAsia"/>
          <w:b/>
          <w:sz w:val="30"/>
          <w:szCs w:val="30"/>
        </w:rPr>
        <w:t>第</w:t>
      </w:r>
      <w:r>
        <w:rPr>
          <w:rFonts w:ascii="仿宋_GB2312" w:eastAsia="仿宋_GB2312" w:hAnsi="Calibri" w:hint="eastAsia"/>
          <w:b/>
          <w:sz w:val="30"/>
          <w:szCs w:val="30"/>
        </w:rPr>
        <w:t>二十二</w:t>
      </w:r>
      <w:r w:rsidRPr="00774D5F">
        <w:rPr>
          <w:rFonts w:ascii="仿宋_GB2312" w:eastAsia="仿宋_GB2312" w:hAnsi="Calibri" w:hint="eastAsia"/>
          <w:b/>
          <w:sz w:val="30"/>
          <w:szCs w:val="30"/>
        </w:rPr>
        <w:t>条</w:t>
      </w:r>
      <w:r w:rsidR="002F4343" w:rsidRPr="00774D5F">
        <w:rPr>
          <w:rFonts w:ascii="仿宋_GB2312" w:eastAsia="仿宋_GB2312" w:hAnsi="Calibri" w:hint="eastAsia"/>
          <w:sz w:val="30"/>
          <w:szCs w:val="30"/>
        </w:rPr>
        <w:t xml:space="preserve">　</w:t>
      </w:r>
      <w:r w:rsidRPr="00774D5F">
        <w:rPr>
          <w:rFonts w:ascii="仿宋_GB2312" w:eastAsia="仿宋_GB2312" w:hAnsi="Calibri" w:hint="eastAsia"/>
          <w:sz w:val="30"/>
          <w:szCs w:val="30"/>
        </w:rPr>
        <w:t>本办法所称有关部门，涉及储蓄国债业务时，是指人民银行；涉及记账式国债业务时，是指人民银行、证监会。</w:t>
      </w:r>
    </w:p>
    <w:p w:rsidR="00654C19" w:rsidRDefault="00654C19" w:rsidP="00654C19">
      <w:pPr>
        <w:adjustRightInd w:val="0"/>
        <w:snapToGrid w:val="0"/>
        <w:spacing w:line="360" w:lineRule="auto"/>
        <w:ind w:firstLineChars="200" w:firstLine="602"/>
        <w:rPr>
          <w:rFonts w:ascii="仿宋_GB2312" w:eastAsia="仿宋_GB2312" w:hAnsi="Calibri"/>
          <w:sz w:val="30"/>
          <w:szCs w:val="30"/>
        </w:rPr>
      </w:pPr>
      <w:r w:rsidRPr="00774D5F">
        <w:rPr>
          <w:rFonts w:ascii="仿宋_GB2312" w:eastAsia="仿宋_GB2312" w:hAnsi="Calibri" w:hint="eastAsia"/>
          <w:b/>
          <w:sz w:val="30"/>
          <w:szCs w:val="30"/>
        </w:rPr>
        <w:t>第二十</w:t>
      </w:r>
      <w:r>
        <w:rPr>
          <w:rFonts w:ascii="仿宋_GB2312" w:eastAsia="仿宋_GB2312" w:hAnsi="Calibri" w:hint="eastAsia"/>
          <w:b/>
          <w:sz w:val="30"/>
          <w:szCs w:val="30"/>
        </w:rPr>
        <w:t>三</w:t>
      </w:r>
      <w:r w:rsidRPr="00774D5F">
        <w:rPr>
          <w:rFonts w:ascii="仿宋_GB2312" w:eastAsia="仿宋_GB2312" w:hAnsi="Calibri" w:hint="eastAsia"/>
          <w:b/>
          <w:sz w:val="30"/>
          <w:szCs w:val="30"/>
        </w:rPr>
        <w:t>条</w:t>
      </w:r>
      <w:r w:rsidR="002F4343" w:rsidRPr="00774D5F">
        <w:rPr>
          <w:rFonts w:ascii="仿宋_GB2312" w:eastAsia="仿宋_GB2312" w:hAnsi="Calibri" w:hint="eastAsia"/>
          <w:sz w:val="30"/>
          <w:szCs w:val="30"/>
        </w:rPr>
        <w:t xml:space="preserve">　</w:t>
      </w:r>
      <w:r w:rsidRPr="00774D5F">
        <w:rPr>
          <w:rFonts w:ascii="仿宋_GB2312" w:eastAsia="仿宋_GB2312" w:hAnsi="Calibri" w:hint="eastAsia"/>
          <w:sz w:val="30"/>
          <w:szCs w:val="30"/>
        </w:rPr>
        <w:t>本办法</w:t>
      </w:r>
      <w:r w:rsidR="00945255" w:rsidRPr="00945255">
        <w:rPr>
          <w:rFonts w:ascii="仿宋_GB2312" w:eastAsia="仿宋_GB2312" w:hAnsi="Calibri" w:hint="eastAsia"/>
          <w:sz w:val="30"/>
          <w:szCs w:val="30"/>
        </w:rPr>
        <w:t>由财政部会同人民银行、证监会负责解释</w:t>
      </w:r>
      <w:r w:rsidRPr="00774D5F">
        <w:rPr>
          <w:rFonts w:ascii="仿宋_GB2312" w:eastAsia="仿宋_GB2312" w:hAnsi="Calibri" w:hint="eastAsia"/>
          <w:sz w:val="30"/>
          <w:szCs w:val="30"/>
        </w:rPr>
        <w:t>。</w:t>
      </w:r>
    </w:p>
    <w:p w:rsidR="00654C19" w:rsidRDefault="00654C19" w:rsidP="00654C19">
      <w:pPr>
        <w:adjustRightInd w:val="0"/>
        <w:snapToGrid w:val="0"/>
        <w:spacing w:line="360" w:lineRule="auto"/>
        <w:ind w:firstLineChars="200" w:firstLine="602"/>
        <w:rPr>
          <w:rFonts w:ascii="仿宋_GB2312" w:eastAsia="仿宋_GB2312" w:hAnsi="Calibri"/>
          <w:sz w:val="30"/>
          <w:szCs w:val="30"/>
        </w:rPr>
      </w:pPr>
      <w:r w:rsidRPr="00DD7731">
        <w:rPr>
          <w:rFonts w:ascii="仿宋_GB2312" w:eastAsia="仿宋_GB2312" w:hAnsi="Calibri" w:hint="eastAsia"/>
          <w:b/>
          <w:sz w:val="30"/>
          <w:szCs w:val="30"/>
        </w:rPr>
        <w:t>第二十四条</w:t>
      </w:r>
      <w:r w:rsidR="002F4343" w:rsidRPr="00774D5F">
        <w:rPr>
          <w:rFonts w:ascii="仿宋_GB2312" w:eastAsia="仿宋_GB2312" w:hAnsi="Calibri" w:hint="eastAsia"/>
          <w:sz w:val="30"/>
          <w:szCs w:val="30"/>
        </w:rPr>
        <w:t xml:space="preserve">　</w:t>
      </w:r>
      <w:r w:rsidR="00113503">
        <w:rPr>
          <w:rFonts w:ascii="仿宋_GB2312" w:eastAsia="仿宋_GB2312" w:hAnsi="Calibri" w:hint="eastAsia"/>
          <w:sz w:val="30"/>
          <w:szCs w:val="30"/>
        </w:rPr>
        <w:t>本办法</w:t>
      </w:r>
      <w:r w:rsidR="00113503" w:rsidRPr="00774D5F">
        <w:rPr>
          <w:rFonts w:ascii="仿宋_GB2312" w:eastAsia="仿宋_GB2312" w:hAnsi="Calibri" w:hint="eastAsia"/>
          <w:sz w:val="30"/>
          <w:szCs w:val="30"/>
        </w:rPr>
        <w:t>自</w:t>
      </w:r>
      <w:r w:rsidR="00113503">
        <w:rPr>
          <w:rFonts w:ascii="仿宋_GB2312" w:eastAsia="仿宋_GB2312" w:hAnsi="Calibri" w:hint="eastAsia"/>
          <w:sz w:val="30"/>
          <w:szCs w:val="30"/>
        </w:rPr>
        <w:t>印发之日</w:t>
      </w:r>
      <w:r w:rsidR="00113503" w:rsidRPr="00774D5F">
        <w:rPr>
          <w:rFonts w:ascii="仿宋_GB2312" w:eastAsia="仿宋_GB2312" w:hAnsi="Calibri" w:hint="eastAsia"/>
          <w:sz w:val="30"/>
          <w:szCs w:val="30"/>
        </w:rPr>
        <w:t>起施行</w:t>
      </w:r>
      <w:r w:rsidR="00113503">
        <w:rPr>
          <w:rFonts w:ascii="仿宋_GB2312" w:eastAsia="仿宋_GB2312" w:hAnsi="Calibri" w:hint="eastAsia"/>
          <w:sz w:val="30"/>
          <w:szCs w:val="30"/>
        </w:rPr>
        <w:t>。</w:t>
      </w:r>
      <w:r w:rsidR="005E6533" w:rsidRPr="00A038F0">
        <w:rPr>
          <w:rFonts w:ascii="仿宋_GB2312" w:eastAsia="仿宋_GB2312" w:hAnsi="Calibri" w:hint="eastAsia"/>
          <w:sz w:val="30"/>
          <w:szCs w:val="30"/>
        </w:rPr>
        <w:t>20</w:t>
      </w:r>
      <w:r w:rsidR="005E6533">
        <w:rPr>
          <w:rFonts w:ascii="仿宋_GB2312" w:eastAsia="仿宋_GB2312" w:hAnsi="Calibri" w:hint="eastAsia"/>
          <w:sz w:val="30"/>
          <w:szCs w:val="30"/>
        </w:rPr>
        <w:t>17</w:t>
      </w:r>
      <w:r w:rsidRPr="00A038F0">
        <w:rPr>
          <w:rFonts w:ascii="仿宋_GB2312" w:eastAsia="仿宋_GB2312" w:hAnsi="Calibri" w:hint="eastAsia"/>
          <w:sz w:val="30"/>
          <w:szCs w:val="30"/>
        </w:rPr>
        <w:t>年</w:t>
      </w:r>
      <w:r w:rsidR="005E6533">
        <w:rPr>
          <w:rFonts w:ascii="仿宋_GB2312" w:eastAsia="仿宋_GB2312" w:hAnsi="Calibri" w:hint="eastAsia"/>
          <w:sz w:val="30"/>
          <w:szCs w:val="30"/>
        </w:rPr>
        <w:t>8</w:t>
      </w:r>
      <w:r w:rsidRPr="00A038F0">
        <w:rPr>
          <w:rFonts w:ascii="仿宋_GB2312" w:eastAsia="仿宋_GB2312" w:hAnsi="Calibri" w:hint="eastAsia"/>
          <w:sz w:val="30"/>
          <w:szCs w:val="30"/>
        </w:rPr>
        <w:t>月</w:t>
      </w:r>
      <w:r w:rsidR="005E2181">
        <w:rPr>
          <w:rFonts w:ascii="仿宋_GB2312" w:eastAsia="仿宋_GB2312" w:hAnsi="Calibri" w:hint="eastAsia"/>
          <w:sz w:val="30"/>
          <w:szCs w:val="30"/>
        </w:rPr>
        <w:t>31</w:t>
      </w:r>
      <w:r w:rsidRPr="00A038F0">
        <w:rPr>
          <w:rFonts w:ascii="仿宋_GB2312" w:eastAsia="仿宋_GB2312" w:hAnsi="Calibri" w:hint="eastAsia"/>
          <w:sz w:val="30"/>
          <w:szCs w:val="30"/>
        </w:rPr>
        <w:t>日发布的《财政部 中国人民银行 证监会关于印发&lt;国债承销团组建工作管理办法&gt;的通知》（财库〔</w:t>
      </w:r>
      <w:r w:rsidR="005E2181" w:rsidRPr="00A038F0">
        <w:rPr>
          <w:rFonts w:ascii="仿宋_GB2312" w:eastAsia="仿宋_GB2312" w:hAnsi="Calibri" w:hint="eastAsia"/>
          <w:sz w:val="30"/>
          <w:szCs w:val="30"/>
        </w:rPr>
        <w:t>201</w:t>
      </w:r>
      <w:r w:rsidR="005E2181">
        <w:rPr>
          <w:rFonts w:ascii="仿宋_GB2312" w:eastAsia="仿宋_GB2312" w:hAnsi="Calibri" w:hint="eastAsia"/>
          <w:sz w:val="30"/>
          <w:szCs w:val="30"/>
        </w:rPr>
        <w:t>7</w:t>
      </w:r>
      <w:r w:rsidRPr="00A038F0">
        <w:rPr>
          <w:rFonts w:ascii="仿宋_GB2312" w:eastAsia="仿宋_GB2312" w:hAnsi="Calibri" w:hint="eastAsia"/>
          <w:sz w:val="30"/>
          <w:szCs w:val="30"/>
        </w:rPr>
        <w:t>〕</w:t>
      </w:r>
      <w:r w:rsidR="005E6533">
        <w:rPr>
          <w:rFonts w:ascii="仿宋_GB2312" w:eastAsia="仿宋_GB2312" w:hAnsi="Calibri" w:hint="eastAsia"/>
          <w:sz w:val="30"/>
          <w:szCs w:val="30"/>
        </w:rPr>
        <w:t>145</w:t>
      </w:r>
      <w:r w:rsidRPr="00A038F0">
        <w:rPr>
          <w:rFonts w:ascii="仿宋_GB2312" w:eastAsia="仿宋_GB2312" w:hAnsi="Calibri" w:hint="eastAsia"/>
          <w:sz w:val="30"/>
          <w:szCs w:val="30"/>
        </w:rPr>
        <w:t>号）同时废止</w:t>
      </w:r>
      <w:r>
        <w:rPr>
          <w:rFonts w:ascii="仿宋_GB2312" w:eastAsia="仿宋_GB2312" w:hAnsi="Calibri" w:hint="eastAsia"/>
          <w:sz w:val="30"/>
          <w:szCs w:val="30"/>
        </w:rPr>
        <w:t>。</w:t>
      </w:r>
    </w:p>
    <w:p w:rsidR="00654C19" w:rsidRPr="00774D5F" w:rsidRDefault="00654C19" w:rsidP="00654C19">
      <w:pPr>
        <w:adjustRightInd w:val="0"/>
        <w:snapToGrid w:val="0"/>
        <w:spacing w:line="360" w:lineRule="auto"/>
        <w:ind w:firstLineChars="200" w:firstLine="600"/>
        <w:rPr>
          <w:rFonts w:ascii="仿宋_GB2312" w:eastAsia="仿宋_GB2312" w:hAnsi="Calibri"/>
          <w:sz w:val="30"/>
          <w:szCs w:val="30"/>
        </w:rPr>
      </w:pPr>
    </w:p>
    <w:p w:rsidR="00654C19" w:rsidRPr="00774D5F" w:rsidRDefault="00654C19" w:rsidP="00654C19">
      <w:pPr>
        <w:widowControl/>
        <w:spacing w:line="360" w:lineRule="auto"/>
        <w:ind w:firstLineChars="200" w:firstLine="600"/>
        <w:rPr>
          <w:rFonts w:ascii="仿宋_GB2312" w:eastAsia="仿宋_GB2312" w:hAnsi="Arial" w:cs="Arial"/>
          <w:kern w:val="0"/>
          <w:sz w:val="30"/>
          <w:szCs w:val="30"/>
        </w:rPr>
      </w:pPr>
      <w:r w:rsidRPr="00774D5F">
        <w:rPr>
          <w:rFonts w:ascii="仿宋_GB2312" w:eastAsia="仿宋_GB2312" w:hAnsi="Arial" w:cs="Arial" w:hint="eastAsia"/>
          <w:kern w:val="0"/>
          <w:sz w:val="30"/>
          <w:szCs w:val="30"/>
        </w:rPr>
        <w:t>附：1.国债承销团</w:t>
      </w:r>
      <w:r>
        <w:rPr>
          <w:rFonts w:ascii="仿宋_GB2312" w:eastAsia="仿宋_GB2312" w:hAnsi="Arial" w:cs="Arial" w:hint="eastAsia"/>
          <w:kern w:val="0"/>
          <w:sz w:val="30"/>
          <w:szCs w:val="30"/>
        </w:rPr>
        <w:t>第三方专家评审</w:t>
      </w:r>
      <w:r w:rsidRPr="00774D5F">
        <w:rPr>
          <w:rFonts w:ascii="仿宋_GB2312" w:eastAsia="仿宋_GB2312" w:hAnsi="Arial" w:cs="Arial" w:hint="eastAsia"/>
          <w:kern w:val="0"/>
          <w:sz w:val="30"/>
          <w:szCs w:val="30"/>
        </w:rPr>
        <w:t>指标体系</w:t>
      </w:r>
    </w:p>
    <w:p w:rsidR="00654C19" w:rsidRPr="00774D5F" w:rsidRDefault="00654C19" w:rsidP="00654C19">
      <w:pPr>
        <w:spacing w:line="360" w:lineRule="auto"/>
        <w:ind w:firstLineChars="200" w:firstLine="600"/>
        <w:rPr>
          <w:rFonts w:ascii="仿宋_GB2312" w:eastAsia="仿宋_GB2312" w:hAnsi="Calibri"/>
          <w:sz w:val="30"/>
          <w:szCs w:val="30"/>
        </w:rPr>
      </w:pPr>
      <w:r w:rsidRPr="00774D5F">
        <w:rPr>
          <w:rFonts w:ascii="仿宋_GB2312" w:eastAsia="仿宋_GB2312" w:hAnsi="Arial" w:cs="Arial" w:hint="eastAsia"/>
          <w:kern w:val="0"/>
          <w:sz w:val="30"/>
          <w:szCs w:val="30"/>
        </w:rPr>
        <w:t xml:space="preserve">　　2.国债承销团专家评分方法</w:t>
      </w:r>
    </w:p>
    <w:p w:rsidR="00654C19" w:rsidRPr="00774D5F" w:rsidRDefault="00654C19" w:rsidP="00654C19">
      <w:pPr>
        <w:widowControl/>
        <w:jc w:val="left"/>
        <w:rPr>
          <w:rFonts w:ascii="仿宋_GB2312" w:eastAsia="仿宋_GB2312" w:hAnsi="Calibri"/>
          <w:sz w:val="30"/>
          <w:szCs w:val="30"/>
        </w:rPr>
      </w:pPr>
      <w:r w:rsidRPr="00774D5F">
        <w:rPr>
          <w:rFonts w:ascii="仿宋_GB2312" w:eastAsia="仿宋_GB2312" w:hAnsi="Calibri" w:hint="eastAsia"/>
          <w:sz w:val="30"/>
          <w:szCs w:val="30"/>
        </w:rPr>
        <w:br w:type="page"/>
      </w:r>
    </w:p>
    <w:p w:rsidR="00654C19" w:rsidRPr="00774D5F" w:rsidRDefault="00654C19" w:rsidP="00654C19">
      <w:pPr>
        <w:spacing w:line="600" w:lineRule="exact"/>
        <w:rPr>
          <w:rFonts w:ascii="仿宋_GB2312" w:eastAsia="仿宋_GB2312" w:hAnsi="宋体"/>
          <w:sz w:val="30"/>
          <w:szCs w:val="30"/>
        </w:rPr>
      </w:pPr>
      <w:r w:rsidRPr="00774D5F">
        <w:rPr>
          <w:rFonts w:ascii="仿宋_GB2312" w:eastAsia="仿宋_GB2312" w:hAnsi="宋体" w:hint="eastAsia"/>
          <w:sz w:val="30"/>
          <w:szCs w:val="30"/>
        </w:rPr>
        <w:lastRenderedPageBreak/>
        <w:t>附1：</w:t>
      </w:r>
    </w:p>
    <w:p w:rsidR="00654C19" w:rsidRPr="00774D5F" w:rsidRDefault="00654C19" w:rsidP="002F4343">
      <w:pPr>
        <w:spacing w:beforeLines="50" w:afterLines="50" w:line="600" w:lineRule="exact"/>
        <w:jc w:val="center"/>
        <w:rPr>
          <w:rFonts w:ascii="宋体" w:hAnsi="宋体"/>
          <w:b/>
          <w:sz w:val="30"/>
          <w:szCs w:val="30"/>
        </w:rPr>
      </w:pPr>
      <w:r w:rsidRPr="00774D5F">
        <w:rPr>
          <w:rFonts w:ascii="宋体" w:hAnsi="宋体" w:hint="eastAsia"/>
          <w:b/>
          <w:sz w:val="30"/>
          <w:szCs w:val="30"/>
        </w:rPr>
        <w:t>国债承销团</w:t>
      </w:r>
      <w:r>
        <w:rPr>
          <w:rFonts w:ascii="宋体" w:hAnsi="宋体" w:hint="eastAsia"/>
          <w:b/>
          <w:sz w:val="30"/>
          <w:szCs w:val="30"/>
        </w:rPr>
        <w:t>第三方专家评审</w:t>
      </w:r>
      <w:r w:rsidRPr="00774D5F">
        <w:rPr>
          <w:rFonts w:ascii="宋体" w:hAnsi="宋体" w:hint="eastAsia"/>
          <w:b/>
          <w:sz w:val="30"/>
          <w:szCs w:val="30"/>
        </w:rPr>
        <w:t>指标体系</w:t>
      </w:r>
    </w:p>
    <w:p w:rsidR="00654C19" w:rsidRPr="00774D5F" w:rsidRDefault="00654C19" w:rsidP="00654C19">
      <w:pPr>
        <w:spacing w:line="600" w:lineRule="exact"/>
        <w:ind w:firstLineChars="188" w:firstLine="566"/>
        <w:jc w:val="left"/>
        <w:rPr>
          <w:rFonts w:ascii="仿宋_GB2312" w:eastAsia="仿宋_GB2312" w:hAnsi="宋体"/>
          <w:b/>
          <w:sz w:val="30"/>
          <w:szCs w:val="30"/>
        </w:rPr>
      </w:pPr>
      <w:r w:rsidRPr="00774D5F">
        <w:rPr>
          <w:rFonts w:ascii="仿宋_GB2312" w:eastAsia="仿宋_GB2312" w:hAnsi="宋体" w:hint="eastAsia"/>
          <w:b/>
          <w:sz w:val="30"/>
          <w:szCs w:val="30"/>
        </w:rPr>
        <w:t>一、储蓄国债承销团</w:t>
      </w:r>
    </w:p>
    <w:p w:rsidR="00654C19" w:rsidRPr="00774D5F" w:rsidRDefault="00654C19" w:rsidP="00654C19">
      <w:pPr>
        <w:spacing w:line="600" w:lineRule="exact"/>
        <w:ind w:firstLineChars="188" w:firstLine="564"/>
        <w:jc w:val="left"/>
        <w:rPr>
          <w:rFonts w:ascii="仿宋_GB2312" w:eastAsia="仿宋_GB2312" w:hAnsi="Calibri"/>
          <w:sz w:val="30"/>
          <w:szCs w:val="30"/>
        </w:rPr>
      </w:pPr>
      <w:r w:rsidRPr="00774D5F">
        <w:rPr>
          <w:rFonts w:ascii="仿宋_GB2312" w:eastAsia="仿宋_GB2312" w:hAnsi="宋体" w:hint="eastAsia"/>
          <w:sz w:val="30"/>
          <w:szCs w:val="30"/>
        </w:rPr>
        <w:t>评审指标包括6个方面：储蓄国债业务开展情况、储蓄存款和理财产品情况、业务渠道情况、风险防控能力、资本经营状况、其他因素</w:t>
      </w:r>
      <w:r w:rsidRPr="00774D5F">
        <w:rPr>
          <w:rFonts w:ascii="仿宋_GB2312" w:eastAsia="仿宋_GB2312" w:hAnsi="Calibri" w:hint="eastAsia"/>
          <w:sz w:val="30"/>
          <w:szCs w:val="30"/>
        </w:rPr>
        <w:t>，权重分别为20%、25%、25%、10%、10%、10%（详见表1）。</w:t>
      </w:r>
    </w:p>
    <w:p w:rsidR="00654C19" w:rsidRPr="00774D5F" w:rsidRDefault="00654C19" w:rsidP="00654C19">
      <w:pPr>
        <w:spacing w:line="600" w:lineRule="exact"/>
        <w:ind w:firstLineChars="188" w:firstLine="564"/>
        <w:jc w:val="left"/>
        <w:rPr>
          <w:rFonts w:ascii="仿宋_GB2312" w:eastAsia="仿宋_GB2312" w:hAnsi="Calibri"/>
          <w:sz w:val="30"/>
          <w:szCs w:val="30"/>
        </w:rPr>
      </w:pPr>
    </w:p>
    <w:p w:rsidR="00654C19" w:rsidRPr="00774D5F" w:rsidRDefault="00654C19" w:rsidP="002F4343">
      <w:pPr>
        <w:spacing w:beforeLines="50" w:afterLines="50" w:line="580" w:lineRule="exact"/>
        <w:jc w:val="center"/>
        <w:rPr>
          <w:rFonts w:ascii="仿宋_GB2312" w:eastAsia="仿宋_GB2312" w:hAnsi="Calibri"/>
          <w:sz w:val="30"/>
          <w:szCs w:val="30"/>
        </w:rPr>
      </w:pPr>
      <w:r w:rsidRPr="00774D5F">
        <w:rPr>
          <w:rFonts w:ascii="仿宋_GB2312" w:eastAsia="仿宋_GB2312" w:hAnsi="Calibri" w:hint="eastAsia"/>
          <w:sz w:val="30"/>
          <w:szCs w:val="30"/>
        </w:rPr>
        <w:t>表1 ：储蓄国债承销团评审指标</w:t>
      </w:r>
    </w:p>
    <w:tbl>
      <w:tblPr>
        <w:tblW w:w="8851" w:type="dxa"/>
        <w:jc w:val="center"/>
        <w:tblInd w:w="1928" w:type="dxa"/>
        <w:tblLayout w:type="fixed"/>
        <w:tblLook w:val="04A0"/>
      </w:tblPr>
      <w:tblGrid>
        <w:gridCol w:w="766"/>
        <w:gridCol w:w="1775"/>
        <w:gridCol w:w="4211"/>
        <w:gridCol w:w="708"/>
        <w:gridCol w:w="1391"/>
      </w:tblGrid>
      <w:tr w:rsidR="00654C19" w:rsidRPr="00945255" w:rsidTr="003169C4">
        <w:trPr>
          <w:trHeight w:val="610"/>
          <w:jc w:val="center"/>
        </w:trPr>
        <w:tc>
          <w:tcPr>
            <w:tcW w:w="766" w:type="dxa"/>
            <w:tcBorders>
              <w:top w:val="single" w:sz="4" w:space="0" w:color="auto"/>
              <w:left w:val="single" w:sz="4" w:space="0" w:color="auto"/>
              <w:bottom w:val="single" w:sz="4" w:space="0" w:color="auto"/>
              <w:right w:val="single" w:sz="4" w:space="0" w:color="auto"/>
            </w:tcBorders>
            <w:vAlign w:val="center"/>
          </w:tcPr>
          <w:p w:rsidR="00654C19" w:rsidRPr="003169C4" w:rsidRDefault="00654C19" w:rsidP="00DD7731">
            <w:pPr>
              <w:widowControl/>
              <w:jc w:val="center"/>
              <w:rPr>
                <w:rFonts w:ascii="仿宋_GB2312" w:eastAsia="仿宋_GB2312" w:hAnsi="宋体" w:cs="宋体"/>
                <w:b/>
                <w:bCs/>
                <w:color w:val="000000"/>
                <w:kern w:val="0"/>
                <w:sz w:val="24"/>
              </w:rPr>
            </w:pPr>
            <w:r w:rsidRPr="003169C4">
              <w:rPr>
                <w:rFonts w:ascii="仿宋_GB2312" w:eastAsia="仿宋_GB2312" w:hAnsi="宋体" w:cs="宋体" w:hint="eastAsia"/>
                <w:b/>
                <w:bCs/>
                <w:color w:val="000000"/>
                <w:kern w:val="0"/>
                <w:sz w:val="24"/>
              </w:rPr>
              <w:t>序号</w:t>
            </w:r>
          </w:p>
        </w:tc>
        <w:tc>
          <w:tcPr>
            <w:tcW w:w="1775" w:type="dxa"/>
            <w:tcBorders>
              <w:top w:val="single" w:sz="4" w:space="0" w:color="auto"/>
              <w:left w:val="single" w:sz="4" w:space="0" w:color="auto"/>
              <w:bottom w:val="single" w:sz="4" w:space="0" w:color="auto"/>
              <w:right w:val="single" w:sz="4" w:space="0" w:color="auto"/>
            </w:tcBorders>
            <w:noWrap/>
            <w:vAlign w:val="center"/>
            <w:hideMark/>
          </w:tcPr>
          <w:p w:rsidR="00654C19" w:rsidRPr="003169C4" w:rsidRDefault="00654C19" w:rsidP="00DD7731">
            <w:pPr>
              <w:widowControl/>
              <w:jc w:val="center"/>
              <w:rPr>
                <w:rFonts w:ascii="仿宋_GB2312" w:eastAsia="仿宋_GB2312" w:hAnsi="宋体" w:cs="宋体"/>
                <w:b/>
                <w:bCs/>
                <w:color w:val="000000"/>
                <w:kern w:val="0"/>
                <w:sz w:val="24"/>
              </w:rPr>
            </w:pPr>
            <w:r w:rsidRPr="003169C4">
              <w:rPr>
                <w:rFonts w:ascii="仿宋_GB2312" w:eastAsia="仿宋_GB2312" w:hAnsi="宋体" w:cs="宋体" w:hint="eastAsia"/>
                <w:b/>
                <w:bCs/>
                <w:color w:val="000000"/>
                <w:kern w:val="0"/>
                <w:sz w:val="24"/>
              </w:rPr>
              <w:t>类别</w:t>
            </w:r>
          </w:p>
        </w:tc>
        <w:tc>
          <w:tcPr>
            <w:tcW w:w="4211" w:type="dxa"/>
            <w:tcBorders>
              <w:top w:val="single" w:sz="4" w:space="0" w:color="auto"/>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b/>
                <w:bCs/>
                <w:color w:val="000000"/>
                <w:kern w:val="0"/>
                <w:sz w:val="24"/>
              </w:rPr>
            </w:pPr>
            <w:r w:rsidRPr="003169C4">
              <w:rPr>
                <w:rFonts w:ascii="仿宋_GB2312" w:eastAsia="仿宋_GB2312" w:hAnsi="宋体" w:cs="宋体" w:hint="eastAsia"/>
                <w:b/>
                <w:bCs/>
                <w:color w:val="000000"/>
                <w:kern w:val="0"/>
                <w:sz w:val="24"/>
              </w:rPr>
              <w:t>分项指标</w:t>
            </w:r>
          </w:p>
        </w:tc>
        <w:tc>
          <w:tcPr>
            <w:tcW w:w="708" w:type="dxa"/>
            <w:tcBorders>
              <w:top w:val="single" w:sz="4" w:space="0" w:color="auto"/>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b/>
                <w:bCs/>
                <w:color w:val="000000"/>
                <w:kern w:val="0"/>
                <w:sz w:val="24"/>
              </w:rPr>
            </w:pPr>
            <w:r w:rsidRPr="003169C4">
              <w:rPr>
                <w:rFonts w:ascii="仿宋_GB2312" w:eastAsia="仿宋_GB2312" w:hAnsi="宋体" w:cs="宋体" w:hint="eastAsia"/>
                <w:b/>
                <w:bCs/>
                <w:color w:val="000000"/>
                <w:kern w:val="0"/>
                <w:sz w:val="24"/>
              </w:rPr>
              <w:t>权重</w:t>
            </w:r>
          </w:p>
        </w:tc>
        <w:tc>
          <w:tcPr>
            <w:tcW w:w="1391" w:type="dxa"/>
            <w:tcBorders>
              <w:top w:val="single" w:sz="4" w:space="0" w:color="auto"/>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b/>
                <w:bCs/>
                <w:color w:val="000000"/>
                <w:kern w:val="0"/>
                <w:sz w:val="24"/>
              </w:rPr>
            </w:pPr>
            <w:r w:rsidRPr="003169C4">
              <w:rPr>
                <w:rFonts w:ascii="仿宋_GB2312" w:eastAsia="仿宋_GB2312" w:hAnsi="宋体" w:cs="宋体" w:hint="eastAsia"/>
                <w:b/>
                <w:bCs/>
                <w:color w:val="000000"/>
                <w:kern w:val="0"/>
                <w:sz w:val="24"/>
              </w:rPr>
              <w:t>权重合计</w:t>
            </w:r>
          </w:p>
        </w:tc>
      </w:tr>
      <w:tr w:rsidR="00654C19" w:rsidRPr="00945255" w:rsidTr="003169C4">
        <w:trPr>
          <w:trHeight w:val="379"/>
          <w:jc w:val="center"/>
        </w:trPr>
        <w:tc>
          <w:tcPr>
            <w:tcW w:w="766" w:type="dxa"/>
            <w:vMerge w:val="restart"/>
            <w:tcBorders>
              <w:top w:val="single" w:sz="4" w:space="0" w:color="auto"/>
              <w:left w:val="single" w:sz="4" w:space="0" w:color="auto"/>
              <w:right w:val="single" w:sz="4" w:space="0" w:color="auto"/>
            </w:tcBorders>
            <w:vAlign w:val="center"/>
          </w:tcPr>
          <w:p w:rsidR="00654C19" w:rsidRPr="003169C4" w:rsidRDefault="00654C19" w:rsidP="00DD7731">
            <w:pPr>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一</w:t>
            </w:r>
          </w:p>
        </w:tc>
        <w:tc>
          <w:tcPr>
            <w:tcW w:w="1775" w:type="dxa"/>
            <w:vMerge w:val="restart"/>
            <w:tcBorders>
              <w:top w:val="single" w:sz="4" w:space="0" w:color="auto"/>
              <w:left w:val="single" w:sz="4" w:space="0" w:color="auto"/>
              <w:right w:val="single" w:sz="4" w:space="0" w:color="auto"/>
            </w:tcBorders>
            <w:noWrap/>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储蓄国债业务开展情况</w:t>
            </w:r>
          </w:p>
        </w:tc>
        <w:tc>
          <w:tcPr>
            <w:tcW w:w="4211" w:type="dxa"/>
            <w:tcBorders>
              <w:top w:val="single" w:sz="4" w:space="0" w:color="auto"/>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储蓄国债承销量</w:t>
            </w:r>
          </w:p>
        </w:tc>
        <w:tc>
          <w:tcPr>
            <w:tcW w:w="708" w:type="dxa"/>
            <w:tcBorders>
              <w:top w:val="single" w:sz="4" w:space="0" w:color="auto"/>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bCs/>
                <w:color w:val="000000"/>
                <w:kern w:val="0"/>
                <w:sz w:val="24"/>
              </w:rPr>
            </w:pPr>
            <w:r w:rsidRPr="003169C4">
              <w:rPr>
                <w:rFonts w:ascii="仿宋_GB2312" w:eastAsia="仿宋_GB2312" w:hAnsi="宋体" w:cs="宋体"/>
                <w:bCs/>
                <w:color w:val="000000"/>
                <w:kern w:val="0"/>
                <w:sz w:val="24"/>
              </w:rPr>
              <w:t>12%</w:t>
            </w:r>
          </w:p>
        </w:tc>
        <w:tc>
          <w:tcPr>
            <w:tcW w:w="1391" w:type="dxa"/>
            <w:vMerge w:val="restart"/>
            <w:tcBorders>
              <w:top w:val="single" w:sz="4" w:space="0" w:color="auto"/>
              <w:left w:val="nil"/>
              <w:right w:val="single" w:sz="4" w:space="0" w:color="auto"/>
            </w:tcBorders>
            <w:vAlign w:val="center"/>
            <w:hideMark/>
          </w:tcPr>
          <w:p w:rsidR="00654C19" w:rsidRPr="003169C4" w:rsidRDefault="00654C19" w:rsidP="00DD7731">
            <w:pPr>
              <w:widowControl/>
              <w:jc w:val="center"/>
              <w:rPr>
                <w:rFonts w:ascii="仿宋_GB2312" w:eastAsia="仿宋_GB2312" w:hAnsi="宋体" w:cs="宋体"/>
                <w:bCs/>
                <w:color w:val="000000"/>
                <w:kern w:val="0"/>
                <w:sz w:val="24"/>
              </w:rPr>
            </w:pPr>
            <w:r w:rsidRPr="003169C4">
              <w:rPr>
                <w:rFonts w:ascii="仿宋_GB2312" w:eastAsia="仿宋_GB2312" w:hAnsi="宋体" w:cs="宋体"/>
                <w:bCs/>
                <w:color w:val="000000"/>
                <w:kern w:val="0"/>
                <w:sz w:val="24"/>
              </w:rPr>
              <w:t>20%</w:t>
            </w:r>
          </w:p>
        </w:tc>
      </w:tr>
      <w:tr w:rsidR="00654C19" w:rsidRPr="00945255" w:rsidTr="003169C4">
        <w:trPr>
          <w:trHeight w:val="510"/>
          <w:jc w:val="center"/>
        </w:trPr>
        <w:tc>
          <w:tcPr>
            <w:tcW w:w="766" w:type="dxa"/>
            <w:vMerge/>
            <w:tcBorders>
              <w:left w:val="single" w:sz="4" w:space="0" w:color="auto"/>
              <w:right w:val="single" w:sz="4" w:space="0" w:color="auto"/>
            </w:tcBorders>
          </w:tcPr>
          <w:p w:rsidR="00654C19" w:rsidRPr="003169C4" w:rsidRDefault="00654C19" w:rsidP="00DD7731">
            <w:pPr>
              <w:widowControl/>
              <w:jc w:val="center"/>
              <w:rPr>
                <w:rFonts w:ascii="仿宋_GB2312" w:eastAsia="仿宋_GB2312" w:hAnsi="宋体" w:cs="宋体"/>
                <w:color w:val="000000"/>
                <w:kern w:val="0"/>
                <w:sz w:val="24"/>
              </w:rPr>
            </w:pPr>
          </w:p>
        </w:tc>
        <w:tc>
          <w:tcPr>
            <w:tcW w:w="1775" w:type="dxa"/>
            <w:vMerge/>
            <w:tcBorders>
              <w:left w:val="single" w:sz="4" w:space="0" w:color="auto"/>
              <w:right w:val="single" w:sz="4" w:space="0" w:color="auto"/>
            </w:tcBorders>
            <w:noWrap/>
            <w:vAlign w:val="center"/>
            <w:hideMark/>
          </w:tcPr>
          <w:p w:rsidR="00654C19" w:rsidRPr="003169C4" w:rsidRDefault="00654C19" w:rsidP="00DD7731">
            <w:pPr>
              <w:widowControl/>
              <w:jc w:val="center"/>
              <w:rPr>
                <w:rFonts w:ascii="仿宋_GB2312" w:eastAsia="仿宋_GB2312" w:hAnsi="宋体" w:cs="宋体"/>
                <w:color w:val="000000"/>
                <w:kern w:val="0"/>
                <w:sz w:val="24"/>
              </w:rPr>
            </w:pPr>
          </w:p>
        </w:tc>
        <w:tc>
          <w:tcPr>
            <w:tcW w:w="4211" w:type="dxa"/>
            <w:tcBorders>
              <w:top w:val="single" w:sz="4" w:space="0" w:color="auto"/>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储蓄国债承销</w:t>
            </w:r>
          </w:p>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计划完成率</w:t>
            </w:r>
          </w:p>
        </w:tc>
        <w:tc>
          <w:tcPr>
            <w:tcW w:w="708" w:type="dxa"/>
            <w:tcBorders>
              <w:top w:val="single" w:sz="4" w:space="0" w:color="auto"/>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bCs/>
                <w:color w:val="000000"/>
                <w:kern w:val="0"/>
                <w:sz w:val="24"/>
              </w:rPr>
            </w:pPr>
            <w:r w:rsidRPr="003169C4">
              <w:rPr>
                <w:rFonts w:ascii="仿宋_GB2312" w:eastAsia="仿宋_GB2312" w:hAnsi="宋体" w:cs="宋体"/>
                <w:bCs/>
                <w:color w:val="000000"/>
                <w:kern w:val="0"/>
                <w:sz w:val="24"/>
              </w:rPr>
              <w:t>5%</w:t>
            </w:r>
          </w:p>
        </w:tc>
        <w:tc>
          <w:tcPr>
            <w:tcW w:w="1391" w:type="dxa"/>
            <w:vMerge/>
            <w:tcBorders>
              <w:left w:val="nil"/>
              <w:right w:val="single" w:sz="4" w:space="0" w:color="auto"/>
            </w:tcBorders>
            <w:vAlign w:val="center"/>
            <w:hideMark/>
          </w:tcPr>
          <w:p w:rsidR="00654C19" w:rsidRPr="003169C4" w:rsidRDefault="00654C19" w:rsidP="00DD7731">
            <w:pPr>
              <w:widowControl/>
              <w:jc w:val="center"/>
              <w:rPr>
                <w:rFonts w:ascii="仿宋_GB2312" w:eastAsia="仿宋_GB2312" w:hAnsi="宋体" w:cs="宋体"/>
                <w:bCs/>
                <w:color w:val="000000"/>
                <w:kern w:val="0"/>
                <w:sz w:val="24"/>
              </w:rPr>
            </w:pPr>
          </w:p>
        </w:tc>
      </w:tr>
      <w:tr w:rsidR="00654C19" w:rsidRPr="00945255" w:rsidTr="003169C4">
        <w:trPr>
          <w:trHeight w:val="380"/>
          <w:jc w:val="center"/>
        </w:trPr>
        <w:tc>
          <w:tcPr>
            <w:tcW w:w="766" w:type="dxa"/>
            <w:vMerge/>
            <w:tcBorders>
              <w:left w:val="single" w:sz="4" w:space="0" w:color="auto"/>
              <w:bottom w:val="single" w:sz="4" w:space="0" w:color="auto"/>
              <w:right w:val="single" w:sz="4" w:space="0" w:color="auto"/>
            </w:tcBorders>
          </w:tcPr>
          <w:p w:rsidR="00654C19" w:rsidRPr="003169C4" w:rsidRDefault="00654C19" w:rsidP="00DD7731">
            <w:pPr>
              <w:widowControl/>
              <w:jc w:val="center"/>
              <w:rPr>
                <w:rFonts w:ascii="仿宋_GB2312" w:eastAsia="仿宋_GB2312" w:hAnsi="宋体" w:cs="宋体"/>
                <w:color w:val="000000"/>
                <w:kern w:val="0"/>
                <w:sz w:val="24"/>
              </w:rPr>
            </w:pPr>
          </w:p>
        </w:tc>
        <w:tc>
          <w:tcPr>
            <w:tcW w:w="1775" w:type="dxa"/>
            <w:vMerge/>
            <w:tcBorders>
              <w:left w:val="single" w:sz="4" w:space="0" w:color="auto"/>
              <w:bottom w:val="single" w:sz="4" w:space="0" w:color="auto"/>
              <w:right w:val="single" w:sz="4" w:space="0" w:color="auto"/>
            </w:tcBorders>
            <w:noWrap/>
            <w:vAlign w:val="center"/>
            <w:hideMark/>
          </w:tcPr>
          <w:p w:rsidR="00654C19" w:rsidRPr="003169C4" w:rsidRDefault="00654C19" w:rsidP="00DD7731">
            <w:pPr>
              <w:widowControl/>
              <w:jc w:val="center"/>
              <w:rPr>
                <w:rFonts w:ascii="仿宋_GB2312" w:eastAsia="仿宋_GB2312" w:hAnsi="宋体" w:cs="宋体"/>
                <w:color w:val="000000"/>
                <w:kern w:val="0"/>
                <w:sz w:val="24"/>
              </w:rPr>
            </w:pPr>
          </w:p>
        </w:tc>
        <w:tc>
          <w:tcPr>
            <w:tcW w:w="4211" w:type="dxa"/>
            <w:tcBorders>
              <w:top w:val="single" w:sz="4" w:space="0" w:color="auto"/>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储蓄国债业务开展年限</w:t>
            </w:r>
          </w:p>
        </w:tc>
        <w:tc>
          <w:tcPr>
            <w:tcW w:w="708" w:type="dxa"/>
            <w:tcBorders>
              <w:top w:val="single" w:sz="4" w:space="0" w:color="auto"/>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bCs/>
                <w:color w:val="000000"/>
                <w:kern w:val="0"/>
                <w:sz w:val="24"/>
              </w:rPr>
            </w:pPr>
            <w:r w:rsidRPr="003169C4">
              <w:rPr>
                <w:rFonts w:ascii="仿宋_GB2312" w:eastAsia="仿宋_GB2312" w:hAnsi="宋体" w:cs="宋体"/>
                <w:bCs/>
                <w:color w:val="000000"/>
                <w:kern w:val="0"/>
                <w:sz w:val="24"/>
              </w:rPr>
              <w:t>3%</w:t>
            </w:r>
          </w:p>
        </w:tc>
        <w:tc>
          <w:tcPr>
            <w:tcW w:w="1391" w:type="dxa"/>
            <w:vMerge/>
            <w:tcBorders>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bCs/>
                <w:color w:val="000000"/>
                <w:kern w:val="0"/>
                <w:sz w:val="24"/>
              </w:rPr>
            </w:pPr>
          </w:p>
        </w:tc>
      </w:tr>
      <w:tr w:rsidR="00654C19" w:rsidRPr="00945255" w:rsidTr="003169C4">
        <w:trPr>
          <w:trHeight w:val="380"/>
          <w:jc w:val="center"/>
        </w:trPr>
        <w:tc>
          <w:tcPr>
            <w:tcW w:w="766" w:type="dxa"/>
            <w:vMerge w:val="restart"/>
            <w:tcBorders>
              <w:top w:val="single" w:sz="4" w:space="0" w:color="auto"/>
              <w:left w:val="single" w:sz="4" w:space="0" w:color="auto"/>
              <w:right w:val="single" w:sz="4" w:space="0" w:color="auto"/>
            </w:tcBorders>
          </w:tcPr>
          <w:p w:rsidR="00654C19" w:rsidRPr="003169C4" w:rsidRDefault="00654C19" w:rsidP="00DD7731">
            <w:pPr>
              <w:widowControl/>
              <w:jc w:val="center"/>
              <w:rPr>
                <w:rFonts w:ascii="仿宋_GB2312" w:eastAsia="仿宋_GB2312" w:hAnsi="宋体" w:cs="宋体"/>
                <w:color w:val="000000"/>
                <w:kern w:val="0"/>
                <w:sz w:val="24"/>
              </w:rPr>
            </w:pPr>
          </w:p>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二</w:t>
            </w:r>
          </w:p>
        </w:tc>
        <w:tc>
          <w:tcPr>
            <w:tcW w:w="1775" w:type="dxa"/>
            <w:vMerge w:val="restart"/>
            <w:tcBorders>
              <w:top w:val="single" w:sz="4" w:space="0" w:color="auto"/>
              <w:left w:val="single" w:sz="4" w:space="0" w:color="auto"/>
              <w:right w:val="single" w:sz="4" w:space="0" w:color="auto"/>
            </w:tcBorders>
            <w:noWrap/>
            <w:vAlign w:val="center"/>
            <w:hideMark/>
          </w:tcPr>
          <w:p w:rsidR="00945255"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储蓄存款</w:t>
            </w:r>
          </w:p>
          <w:p w:rsidR="00654C19" w:rsidRPr="003169C4" w:rsidRDefault="00654C19">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和理财产品情况</w:t>
            </w:r>
          </w:p>
        </w:tc>
        <w:tc>
          <w:tcPr>
            <w:tcW w:w="4211" w:type="dxa"/>
            <w:tcBorders>
              <w:top w:val="single" w:sz="4" w:space="0" w:color="auto"/>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个人储蓄存款余额</w:t>
            </w:r>
          </w:p>
        </w:tc>
        <w:tc>
          <w:tcPr>
            <w:tcW w:w="708" w:type="dxa"/>
            <w:tcBorders>
              <w:top w:val="single" w:sz="4" w:space="0" w:color="auto"/>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bCs/>
                <w:color w:val="000000"/>
                <w:kern w:val="0"/>
                <w:sz w:val="24"/>
              </w:rPr>
            </w:pPr>
            <w:r w:rsidRPr="003169C4">
              <w:rPr>
                <w:rFonts w:ascii="仿宋_GB2312" w:eastAsia="仿宋_GB2312" w:hAnsi="宋体" w:cs="宋体"/>
                <w:bCs/>
                <w:color w:val="000000"/>
                <w:kern w:val="0"/>
                <w:sz w:val="24"/>
              </w:rPr>
              <w:t>20%</w:t>
            </w:r>
          </w:p>
        </w:tc>
        <w:tc>
          <w:tcPr>
            <w:tcW w:w="1391" w:type="dxa"/>
            <w:vMerge w:val="restart"/>
            <w:tcBorders>
              <w:top w:val="single" w:sz="4" w:space="0" w:color="auto"/>
              <w:left w:val="nil"/>
              <w:right w:val="single" w:sz="4" w:space="0" w:color="auto"/>
            </w:tcBorders>
            <w:vAlign w:val="center"/>
            <w:hideMark/>
          </w:tcPr>
          <w:p w:rsidR="00654C19" w:rsidRPr="003169C4" w:rsidRDefault="00654C19" w:rsidP="00DD7731">
            <w:pPr>
              <w:widowControl/>
              <w:jc w:val="center"/>
              <w:rPr>
                <w:rFonts w:ascii="仿宋_GB2312" w:eastAsia="仿宋_GB2312" w:hAnsi="宋体" w:cs="宋体"/>
                <w:bCs/>
                <w:color w:val="000000"/>
                <w:kern w:val="0"/>
                <w:sz w:val="24"/>
              </w:rPr>
            </w:pPr>
            <w:r w:rsidRPr="003169C4">
              <w:rPr>
                <w:rFonts w:ascii="仿宋_GB2312" w:eastAsia="仿宋_GB2312" w:hAnsi="宋体" w:cs="宋体"/>
                <w:bCs/>
                <w:color w:val="000000"/>
                <w:kern w:val="0"/>
                <w:sz w:val="24"/>
              </w:rPr>
              <w:t>25%</w:t>
            </w:r>
          </w:p>
        </w:tc>
      </w:tr>
      <w:tr w:rsidR="00654C19" w:rsidRPr="00945255" w:rsidTr="003169C4">
        <w:trPr>
          <w:trHeight w:val="493"/>
          <w:jc w:val="center"/>
        </w:trPr>
        <w:tc>
          <w:tcPr>
            <w:tcW w:w="766" w:type="dxa"/>
            <w:vMerge/>
            <w:tcBorders>
              <w:left w:val="single" w:sz="4" w:space="0" w:color="auto"/>
              <w:bottom w:val="single" w:sz="4" w:space="0" w:color="000000"/>
              <w:right w:val="single" w:sz="4" w:space="0" w:color="auto"/>
            </w:tcBorders>
          </w:tcPr>
          <w:p w:rsidR="00654C19" w:rsidRPr="003169C4" w:rsidRDefault="00654C19" w:rsidP="00DD7731">
            <w:pPr>
              <w:widowControl/>
              <w:jc w:val="center"/>
              <w:rPr>
                <w:rFonts w:ascii="仿宋_GB2312" w:eastAsia="仿宋_GB2312" w:hAnsi="宋体" w:cs="宋体"/>
                <w:color w:val="000000"/>
                <w:kern w:val="0"/>
                <w:sz w:val="24"/>
              </w:rPr>
            </w:pPr>
          </w:p>
        </w:tc>
        <w:tc>
          <w:tcPr>
            <w:tcW w:w="1775" w:type="dxa"/>
            <w:vMerge/>
            <w:tcBorders>
              <w:left w:val="single" w:sz="4" w:space="0" w:color="auto"/>
              <w:bottom w:val="single" w:sz="4" w:space="0" w:color="000000"/>
              <w:right w:val="single" w:sz="4" w:space="0" w:color="auto"/>
            </w:tcBorders>
            <w:noWrap/>
            <w:vAlign w:val="center"/>
            <w:hideMark/>
          </w:tcPr>
          <w:p w:rsidR="00654C19" w:rsidRPr="003169C4" w:rsidRDefault="00654C19" w:rsidP="00DD7731">
            <w:pPr>
              <w:widowControl/>
              <w:jc w:val="center"/>
              <w:rPr>
                <w:rFonts w:ascii="仿宋_GB2312" w:eastAsia="仿宋_GB2312" w:hAnsi="宋体" w:cs="宋体"/>
                <w:color w:val="000000"/>
                <w:kern w:val="0"/>
                <w:sz w:val="24"/>
              </w:rPr>
            </w:pPr>
          </w:p>
        </w:tc>
        <w:tc>
          <w:tcPr>
            <w:tcW w:w="4211" w:type="dxa"/>
            <w:tcBorders>
              <w:top w:val="nil"/>
              <w:left w:val="nil"/>
              <w:bottom w:val="single" w:sz="4" w:space="0" w:color="auto"/>
              <w:right w:val="single" w:sz="4" w:space="0" w:color="auto"/>
            </w:tcBorders>
            <w:vAlign w:val="center"/>
            <w:hideMark/>
          </w:tcPr>
          <w:p w:rsidR="00654C19" w:rsidRPr="003169C4" w:rsidRDefault="00945255"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个人存款占各项存款的比例</w:t>
            </w:r>
          </w:p>
        </w:tc>
        <w:tc>
          <w:tcPr>
            <w:tcW w:w="708" w:type="dxa"/>
            <w:tcBorders>
              <w:top w:val="nil"/>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5%</w:t>
            </w:r>
          </w:p>
        </w:tc>
        <w:tc>
          <w:tcPr>
            <w:tcW w:w="1391" w:type="dxa"/>
            <w:vMerge/>
            <w:tcBorders>
              <w:left w:val="single" w:sz="4" w:space="0" w:color="auto"/>
              <w:bottom w:val="single" w:sz="4" w:space="0" w:color="000000"/>
              <w:right w:val="single" w:sz="4" w:space="0" w:color="auto"/>
            </w:tcBorders>
            <w:vAlign w:val="center"/>
            <w:hideMark/>
          </w:tcPr>
          <w:p w:rsidR="00654C19" w:rsidRPr="003169C4" w:rsidRDefault="00654C19" w:rsidP="00DD7731">
            <w:pPr>
              <w:jc w:val="center"/>
              <w:rPr>
                <w:rFonts w:ascii="仿宋_GB2312" w:eastAsia="仿宋_GB2312" w:hAnsi="宋体" w:cs="宋体"/>
                <w:color w:val="000000"/>
                <w:kern w:val="0"/>
                <w:sz w:val="24"/>
              </w:rPr>
            </w:pPr>
          </w:p>
        </w:tc>
      </w:tr>
      <w:tr w:rsidR="00654C19" w:rsidRPr="00945255" w:rsidTr="003169C4">
        <w:trPr>
          <w:trHeight w:val="527"/>
          <w:jc w:val="center"/>
        </w:trPr>
        <w:tc>
          <w:tcPr>
            <w:tcW w:w="766" w:type="dxa"/>
            <w:vMerge w:val="restart"/>
            <w:tcBorders>
              <w:top w:val="single" w:sz="4" w:space="0" w:color="auto"/>
              <w:left w:val="single" w:sz="4" w:space="0" w:color="auto"/>
              <w:right w:val="single" w:sz="4" w:space="0" w:color="auto"/>
            </w:tcBorders>
            <w:vAlign w:val="center"/>
          </w:tcPr>
          <w:p w:rsidR="00654C19" w:rsidRPr="003169C4" w:rsidRDefault="00654C19" w:rsidP="00DD7731">
            <w:pPr>
              <w:ind w:firstLineChars="50" w:firstLine="120"/>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三</w:t>
            </w:r>
          </w:p>
        </w:tc>
        <w:tc>
          <w:tcPr>
            <w:tcW w:w="1775" w:type="dxa"/>
            <w:vMerge w:val="restart"/>
            <w:tcBorders>
              <w:top w:val="single" w:sz="4" w:space="0" w:color="auto"/>
              <w:left w:val="single" w:sz="4" w:space="0" w:color="auto"/>
              <w:right w:val="single" w:sz="4" w:space="0" w:color="auto"/>
            </w:tcBorders>
            <w:noWrap/>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业务渠道情况</w:t>
            </w:r>
          </w:p>
        </w:tc>
        <w:tc>
          <w:tcPr>
            <w:tcW w:w="4211" w:type="dxa"/>
            <w:tcBorders>
              <w:top w:val="nil"/>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营业网点数量</w:t>
            </w:r>
          </w:p>
        </w:tc>
        <w:tc>
          <w:tcPr>
            <w:tcW w:w="708" w:type="dxa"/>
            <w:tcBorders>
              <w:top w:val="nil"/>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20%</w:t>
            </w:r>
          </w:p>
        </w:tc>
        <w:tc>
          <w:tcPr>
            <w:tcW w:w="1391" w:type="dxa"/>
            <w:vMerge w:val="restart"/>
            <w:tcBorders>
              <w:top w:val="nil"/>
              <w:left w:val="single" w:sz="4" w:space="0" w:color="auto"/>
              <w:right w:val="single" w:sz="4" w:space="0" w:color="auto"/>
            </w:tcBorders>
            <w:vAlign w:val="center"/>
            <w:hideMark/>
          </w:tcPr>
          <w:p w:rsidR="00654C19" w:rsidRPr="003169C4" w:rsidRDefault="00654C19" w:rsidP="00DD7731">
            <w:pPr>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25%</w:t>
            </w:r>
          </w:p>
        </w:tc>
      </w:tr>
      <w:tr w:rsidR="00654C19" w:rsidRPr="00945255" w:rsidTr="003169C4">
        <w:trPr>
          <w:trHeight w:val="432"/>
          <w:jc w:val="center"/>
        </w:trPr>
        <w:tc>
          <w:tcPr>
            <w:tcW w:w="766" w:type="dxa"/>
            <w:vMerge/>
            <w:tcBorders>
              <w:left w:val="single" w:sz="4" w:space="0" w:color="auto"/>
              <w:right w:val="single" w:sz="4" w:space="0" w:color="auto"/>
            </w:tcBorders>
          </w:tcPr>
          <w:p w:rsidR="00654C19" w:rsidRPr="003169C4" w:rsidRDefault="00654C19" w:rsidP="00DD7731">
            <w:pPr>
              <w:widowControl/>
              <w:ind w:firstLineChars="50" w:firstLine="120"/>
              <w:jc w:val="left"/>
              <w:rPr>
                <w:rFonts w:ascii="仿宋_GB2312" w:eastAsia="仿宋_GB2312" w:hAnsi="宋体" w:cs="宋体"/>
                <w:color w:val="000000"/>
                <w:kern w:val="0"/>
                <w:sz w:val="24"/>
              </w:rPr>
            </w:pPr>
          </w:p>
        </w:tc>
        <w:tc>
          <w:tcPr>
            <w:tcW w:w="1775" w:type="dxa"/>
            <w:vMerge/>
            <w:tcBorders>
              <w:left w:val="single" w:sz="4" w:space="0" w:color="auto"/>
              <w:right w:val="single" w:sz="4" w:space="0" w:color="auto"/>
            </w:tcBorders>
            <w:vAlign w:val="center"/>
            <w:hideMark/>
          </w:tcPr>
          <w:p w:rsidR="00654C19" w:rsidRPr="003169C4" w:rsidRDefault="00654C19" w:rsidP="00DD7731">
            <w:pPr>
              <w:widowControl/>
              <w:jc w:val="left"/>
              <w:rPr>
                <w:rFonts w:ascii="仿宋_GB2312" w:eastAsia="仿宋_GB2312" w:hAnsi="宋体" w:cs="宋体"/>
                <w:color w:val="000000"/>
                <w:kern w:val="0"/>
                <w:sz w:val="24"/>
              </w:rPr>
            </w:pPr>
          </w:p>
        </w:tc>
        <w:tc>
          <w:tcPr>
            <w:tcW w:w="4211" w:type="dxa"/>
            <w:tcBorders>
              <w:top w:val="nil"/>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个人网上银行</w:t>
            </w:r>
            <w:r w:rsidR="00422642" w:rsidRPr="003169C4">
              <w:rPr>
                <w:rFonts w:ascii="仿宋_GB2312" w:eastAsia="仿宋_GB2312" w:hAnsi="宋体" w:cs="宋体" w:hint="eastAsia"/>
                <w:color w:val="000000"/>
                <w:kern w:val="0"/>
                <w:sz w:val="24"/>
              </w:rPr>
              <w:t>和手机银行</w:t>
            </w:r>
            <w:r w:rsidRPr="003169C4">
              <w:rPr>
                <w:rFonts w:ascii="仿宋_GB2312" w:eastAsia="仿宋_GB2312" w:hAnsi="宋体" w:cs="宋体" w:hint="eastAsia"/>
                <w:color w:val="000000"/>
                <w:kern w:val="0"/>
                <w:sz w:val="24"/>
              </w:rPr>
              <w:t>账户数量</w:t>
            </w:r>
          </w:p>
        </w:tc>
        <w:tc>
          <w:tcPr>
            <w:tcW w:w="708" w:type="dxa"/>
            <w:tcBorders>
              <w:top w:val="nil"/>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3%</w:t>
            </w:r>
          </w:p>
        </w:tc>
        <w:tc>
          <w:tcPr>
            <w:tcW w:w="1391" w:type="dxa"/>
            <w:vMerge/>
            <w:tcBorders>
              <w:left w:val="single" w:sz="4" w:space="0" w:color="auto"/>
              <w:right w:val="single" w:sz="4" w:space="0" w:color="auto"/>
            </w:tcBorders>
            <w:vAlign w:val="center"/>
            <w:hideMark/>
          </w:tcPr>
          <w:p w:rsidR="00654C19" w:rsidRPr="003169C4" w:rsidRDefault="00654C19" w:rsidP="00DD7731">
            <w:pPr>
              <w:widowControl/>
              <w:jc w:val="left"/>
              <w:rPr>
                <w:rFonts w:ascii="仿宋_GB2312" w:eastAsia="仿宋_GB2312" w:hAnsi="宋体" w:cs="宋体"/>
                <w:color w:val="000000"/>
                <w:kern w:val="0"/>
                <w:sz w:val="24"/>
              </w:rPr>
            </w:pPr>
          </w:p>
        </w:tc>
      </w:tr>
      <w:tr w:rsidR="00654C19" w:rsidRPr="00945255" w:rsidTr="003169C4">
        <w:trPr>
          <w:trHeight w:val="609"/>
          <w:jc w:val="center"/>
        </w:trPr>
        <w:tc>
          <w:tcPr>
            <w:tcW w:w="766" w:type="dxa"/>
            <w:vMerge/>
            <w:tcBorders>
              <w:left w:val="single" w:sz="4" w:space="0" w:color="auto"/>
              <w:bottom w:val="single" w:sz="4" w:space="0" w:color="000000"/>
              <w:right w:val="single" w:sz="4" w:space="0" w:color="auto"/>
            </w:tcBorders>
          </w:tcPr>
          <w:p w:rsidR="00654C19" w:rsidRPr="003169C4" w:rsidRDefault="00654C19" w:rsidP="00DD7731">
            <w:pPr>
              <w:widowControl/>
              <w:jc w:val="left"/>
              <w:rPr>
                <w:rFonts w:ascii="仿宋_GB2312" w:eastAsia="仿宋_GB2312" w:hAnsi="宋体" w:cs="宋体"/>
                <w:color w:val="000000"/>
                <w:kern w:val="0"/>
                <w:sz w:val="24"/>
              </w:rPr>
            </w:pPr>
          </w:p>
        </w:tc>
        <w:tc>
          <w:tcPr>
            <w:tcW w:w="1775" w:type="dxa"/>
            <w:vMerge/>
            <w:tcBorders>
              <w:left w:val="single" w:sz="4" w:space="0" w:color="auto"/>
              <w:bottom w:val="single" w:sz="4" w:space="0" w:color="000000"/>
              <w:right w:val="single" w:sz="4" w:space="0" w:color="auto"/>
            </w:tcBorders>
            <w:vAlign w:val="center"/>
            <w:hideMark/>
          </w:tcPr>
          <w:p w:rsidR="00654C19" w:rsidRPr="003169C4" w:rsidRDefault="00654C19" w:rsidP="00DD7731">
            <w:pPr>
              <w:widowControl/>
              <w:jc w:val="left"/>
              <w:rPr>
                <w:rFonts w:ascii="仿宋_GB2312" w:eastAsia="仿宋_GB2312" w:hAnsi="宋体" w:cs="宋体"/>
                <w:color w:val="000000"/>
                <w:kern w:val="0"/>
                <w:sz w:val="24"/>
              </w:rPr>
            </w:pPr>
          </w:p>
        </w:tc>
        <w:tc>
          <w:tcPr>
            <w:tcW w:w="4211" w:type="dxa"/>
            <w:tcBorders>
              <w:top w:val="nil"/>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个人网上银行</w:t>
            </w:r>
            <w:r w:rsidR="00422642" w:rsidRPr="003169C4">
              <w:rPr>
                <w:rFonts w:ascii="仿宋_GB2312" w:eastAsia="仿宋_GB2312" w:hAnsi="宋体" w:cs="宋体" w:hint="eastAsia"/>
                <w:color w:val="000000"/>
                <w:kern w:val="0"/>
                <w:sz w:val="24"/>
              </w:rPr>
              <w:t>和手机银行</w:t>
            </w:r>
            <w:r w:rsidRPr="003169C4">
              <w:rPr>
                <w:rFonts w:ascii="仿宋_GB2312" w:eastAsia="仿宋_GB2312" w:hAnsi="宋体" w:cs="宋体" w:hint="eastAsia"/>
                <w:color w:val="000000"/>
                <w:kern w:val="0"/>
                <w:sz w:val="24"/>
              </w:rPr>
              <w:t>业务办理笔数</w:t>
            </w:r>
          </w:p>
        </w:tc>
        <w:tc>
          <w:tcPr>
            <w:tcW w:w="708" w:type="dxa"/>
            <w:tcBorders>
              <w:top w:val="nil"/>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2%</w:t>
            </w:r>
          </w:p>
        </w:tc>
        <w:tc>
          <w:tcPr>
            <w:tcW w:w="1391" w:type="dxa"/>
            <w:vMerge/>
            <w:tcBorders>
              <w:left w:val="single" w:sz="4" w:space="0" w:color="auto"/>
              <w:bottom w:val="single" w:sz="4" w:space="0" w:color="000000"/>
              <w:right w:val="single" w:sz="4" w:space="0" w:color="auto"/>
            </w:tcBorders>
            <w:vAlign w:val="center"/>
            <w:hideMark/>
          </w:tcPr>
          <w:p w:rsidR="00654C19" w:rsidRPr="003169C4" w:rsidRDefault="00654C19" w:rsidP="00DD7731">
            <w:pPr>
              <w:widowControl/>
              <w:jc w:val="left"/>
              <w:rPr>
                <w:rFonts w:ascii="仿宋_GB2312" w:eastAsia="仿宋_GB2312" w:hAnsi="宋体" w:cs="宋体"/>
                <w:color w:val="000000"/>
                <w:kern w:val="0"/>
                <w:sz w:val="24"/>
              </w:rPr>
            </w:pPr>
          </w:p>
        </w:tc>
      </w:tr>
      <w:tr w:rsidR="00654C19" w:rsidRPr="00945255" w:rsidTr="003169C4">
        <w:trPr>
          <w:trHeight w:val="380"/>
          <w:jc w:val="center"/>
        </w:trPr>
        <w:tc>
          <w:tcPr>
            <w:tcW w:w="766" w:type="dxa"/>
            <w:vMerge w:val="restart"/>
            <w:tcBorders>
              <w:top w:val="nil"/>
              <w:left w:val="single" w:sz="4" w:space="0" w:color="auto"/>
              <w:right w:val="single" w:sz="4" w:space="0" w:color="auto"/>
            </w:tcBorders>
            <w:vAlign w:val="center"/>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四</w:t>
            </w:r>
          </w:p>
        </w:tc>
        <w:tc>
          <w:tcPr>
            <w:tcW w:w="1775" w:type="dxa"/>
            <w:vMerge w:val="restart"/>
            <w:tcBorders>
              <w:top w:val="nil"/>
              <w:left w:val="single" w:sz="4" w:space="0" w:color="auto"/>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风险防控能力</w:t>
            </w:r>
          </w:p>
        </w:tc>
        <w:tc>
          <w:tcPr>
            <w:tcW w:w="4211" w:type="dxa"/>
            <w:tcBorders>
              <w:top w:val="nil"/>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资本充足率</w:t>
            </w:r>
          </w:p>
        </w:tc>
        <w:tc>
          <w:tcPr>
            <w:tcW w:w="708" w:type="dxa"/>
            <w:tcBorders>
              <w:top w:val="nil"/>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2%</w:t>
            </w:r>
          </w:p>
        </w:tc>
        <w:tc>
          <w:tcPr>
            <w:tcW w:w="1391" w:type="dxa"/>
            <w:vMerge w:val="restart"/>
            <w:tcBorders>
              <w:top w:val="nil"/>
              <w:left w:val="single" w:sz="4" w:space="0" w:color="auto"/>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10%</w:t>
            </w:r>
          </w:p>
        </w:tc>
      </w:tr>
      <w:tr w:rsidR="00654C19" w:rsidRPr="00945255" w:rsidTr="003169C4">
        <w:trPr>
          <w:trHeight w:val="380"/>
          <w:jc w:val="center"/>
        </w:trPr>
        <w:tc>
          <w:tcPr>
            <w:tcW w:w="766" w:type="dxa"/>
            <w:vMerge/>
            <w:tcBorders>
              <w:left w:val="single" w:sz="4" w:space="0" w:color="auto"/>
              <w:right w:val="single" w:sz="4" w:space="0" w:color="auto"/>
            </w:tcBorders>
          </w:tcPr>
          <w:p w:rsidR="00654C19" w:rsidRPr="003169C4" w:rsidRDefault="00654C19" w:rsidP="00DD7731">
            <w:pPr>
              <w:widowControl/>
              <w:jc w:val="left"/>
              <w:rPr>
                <w:rFonts w:ascii="仿宋_GB2312" w:eastAsia="仿宋_GB2312" w:hAnsi="宋体" w:cs="宋体"/>
                <w:color w:val="000000"/>
                <w:kern w:val="0"/>
                <w:sz w:val="24"/>
              </w:rPr>
            </w:pPr>
          </w:p>
        </w:tc>
        <w:tc>
          <w:tcPr>
            <w:tcW w:w="1775" w:type="dxa"/>
            <w:vMerge/>
            <w:tcBorders>
              <w:top w:val="nil"/>
              <w:left w:val="single" w:sz="4" w:space="0" w:color="auto"/>
              <w:bottom w:val="single" w:sz="4" w:space="0" w:color="auto"/>
              <w:right w:val="single" w:sz="4" w:space="0" w:color="auto"/>
            </w:tcBorders>
            <w:vAlign w:val="center"/>
          </w:tcPr>
          <w:p w:rsidR="00654C19" w:rsidRPr="003169C4" w:rsidRDefault="00654C19" w:rsidP="00DD7731">
            <w:pPr>
              <w:widowControl/>
              <w:jc w:val="left"/>
              <w:rPr>
                <w:rFonts w:ascii="仿宋_GB2312" w:eastAsia="仿宋_GB2312" w:hAnsi="宋体" w:cs="宋体"/>
                <w:color w:val="000000"/>
                <w:kern w:val="0"/>
                <w:sz w:val="24"/>
              </w:rPr>
            </w:pPr>
          </w:p>
        </w:tc>
        <w:tc>
          <w:tcPr>
            <w:tcW w:w="4211" w:type="dxa"/>
            <w:tcBorders>
              <w:top w:val="nil"/>
              <w:left w:val="nil"/>
              <w:bottom w:val="single" w:sz="4" w:space="0" w:color="auto"/>
              <w:right w:val="single" w:sz="4" w:space="0" w:color="auto"/>
            </w:tcBorders>
            <w:vAlign w:val="center"/>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杠杆率</w:t>
            </w:r>
          </w:p>
        </w:tc>
        <w:tc>
          <w:tcPr>
            <w:tcW w:w="708" w:type="dxa"/>
            <w:tcBorders>
              <w:top w:val="nil"/>
              <w:left w:val="nil"/>
              <w:bottom w:val="single" w:sz="4" w:space="0" w:color="auto"/>
              <w:right w:val="single" w:sz="4" w:space="0" w:color="auto"/>
            </w:tcBorders>
            <w:vAlign w:val="center"/>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2%</w:t>
            </w:r>
          </w:p>
        </w:tc>
        <w:tc>
          <w:tcPr>
            <w:tcW w:w="1391" w:type="dxa"/>
            <w:vMerge/>
            <w:tcBorders>
              <w:top w:val="nil"/>
              <w:left w:val="single" w:sz="4" w:space="0" w:color="auto"/>
              <w:bottom w:val="single" w:sz="4" w:space="0" w:color="auto"/>
              <w:right w:val="single" w:sz="4" w:space="0" w:color="auto"/>
            </w:tcBorders>
            <w:vAlign w:val="center"/>
          </w:tcPr>
          <w:p w:rsidR="00654C19" w:rsidRPr="003169C4" w:rsidRDefault="00654C19" w:rsidP="00DD7731">
            <w:pPr>
              <w:widowControl/>
              <w:jc w:val="left"/>
              <w:rPr>
                <w:rFonts w:ascii="仿宋_GB2312" w:eastAsia="仿宋_GB2312" w:hAnsi="宋体" w:cs="宋体"/>
                <w:color w:val="000000"/>
                <w:kern w:val="0"/>
                <w:sz w:val="24"/>
              </w:rPr>
            </w:pPr>
          </w:p>
        </w:tc>
      </w:tr>
      <w:tr w:rsidR="00654C19" w:rsidRPr="00945255" w:rsidTr="003169C4">
        <w:trPr>
          <w:trHeight w:val="380"/>
          <w:jc w:val="center"/>
        </w:trPr>
        <w:tc>
          <w:tcPr>
            <w:tcW w:w="766" w:type="dxa"/>
            <w:vMerge/>
            <w:tcBorders>
              <w:left w:val="single" w:sz="4" w:space="0" w:color="auto"/>
              <w:right w:val="single" w:sz="4" w:space="0" w:color="auto"/>
            </w:tcBorders>
          </w:tcPr>
          <w:p w:rsidR="00654C19" w:rsidRPr="003169C4" w:rsidRDefault="00654C19" w:rsidP="00DD7731">
            <w:pPr>
              <w:widowControl/>
              <w:jc w:val="left"/>
              <w:rPr>
                <w:rFonts w:ascii="仿宋_GB2312" w:eastAsia="仿宋_GB2312" w:hAnsi="宋体" w:cs="宋体"/>
                <w:color w:val="000000"/>
                <w:kern w:val="0"/>
                <w:sz w:val="24"/>
              </w:rPr>
            </w:pPr>
          </w:p>
        </w:tc>
        <w:tc>
          <w:tcPr>
            <w:tcW w:w="1775" w:type="dxa"/>
            <w:vMerge/>
            <w:tcBorders>
              <w:top w:val="nil"/>
              <w:left w:val="single" w:sz="4" w:space="0" w:color="auto"/>
              <w:bottom w:val="single" w:sz="4" w:space="0" w:color="auto"/>
              <w:right w:val="single" w:sz="4" w:space="0" w:color="auto"/>
            </w:tcBorders>
            <w:vAlign w:val="center"/>
          </w:tcPr>
          <w:p w:rsidR="00654C19" w:rsidRPr="003169C4" w:rsidRDefault="00654C19" w:rsidP="00DD7731">
            <w:pPr>
              <w:widowControl/>
              <w:jc w:val="left"/>
              <w:rPr>
                <w:rFonts w:ascii="仿宋_GB2312" w:eastAsia="仿宋_GB2312" w:hAnsi="宋体" w:cs="宋体"/>
                <w:color w:val="000000"/>
                <w:kern w:val="0"/>
                <w:sz w:val="24"/>
              </w:rPr>
            </w:pPr>
          </w:p>
        </w:tc>
        <w:tc>
          <w:tcPr>
            <w:tcW w:w="4211" w:type="dxa"/>
            <w:tcBorders>
              <w:top w:val="nil"/>
              <w:left w:val="nil"/>
              <w:bottom w:val="single" w:sz="4" w:space="0" w:color="auto"/>
              <w:right w:val="single" w:sz="4" w:space="0" w:color="auto"/>
            </w:tcBorders>
            <w:vAlign w:val="center"/>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不良贷款率</w:t>
            </w:r>
          </w:p>
        </w:tc>
        <w:tc>
          <w:tcPr>
            <w:tcW w:w="708" w:type="dxa"/>
            <w:tcBorders>
              <w:top w:val="nil"/>
              <w:left w:val="nil"/>
              <w:bottom w:val="single" w:sz="4" w:space="0" w:color="auto"/>
              <w:right w:val="single" w:sz="4" w:space="0" w:color="auto"/>
            </w:tcBorders>
            <w:vAlign w:val="center"/>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2%</w:t>
            </w:r>
          </w:p>
        </w:tc>
        <w:tc>
          <w:tcPr>
            <w:tcW w:w="1391" w:type="dxa"/>
            <w:vMerge/>
            <w:tcBorders>
              <w:top w:val="nil"/>
              <w:left w:val="single" w:sz="4" w:space="0" w:color="auto"/>
              <w:bottom w:val="single" w:sz="4" w:space="0" w:color="auto"/>
              <w:right w:val="single" w:sz="4" w:space="0" w:color="auto"/>
            </w:tcBorders>
            <w:vAlign w:val="center"/>
          </w:tcPr>
          <w:p w:rsidR="00654C19" w:rsidRPr="003169C4" w:rsidRDefault="00654C19" w:rsidP="00DD7731">
            <w:pPr>
              <w:widowControl/>
              <w:jc w:val="left"/>
              <w:rPr>
                <w:rFonts w:ascii="仿宋_GB2312" w:eastAsia="仿宋_GB2312" w:hAnsi="宋体" w:cs="宋体"/>
                <w:color w:val="000000"/>
                <w:kern w:val="0"/>
                <w:sz w:val="24"/>
              </w:rPr>
            </w:pPr>
          </w:p>
        </w:tc>
      </w:tr>
      <w:tr w:rsidR="00654C19" w:rsidRPr="00945255" w:rsidTr="003169C4">
        <w:trPr>
          <w:trHeight w:val="380"/>
          <w:jc w:val="center"/>
        </w:trPr>
        <w:tc>
          <w:tcPr>
            <w:tcW w:w="766" w:type="dxa"/>
            <w:vMerge/>
            <w:tcBorders>
              <w:left w:val="single" w:sz="4" w:space="0" w:color="auto"/>
              <w:right w:val="single" w:sz="4" w:space="0" w:color="auto"/>
            </w:tcBorders>
          </w:tcPr>
          <w:p w:rsidR="00654C19" w:rsidRPr="003169C4" w:rsidRDefault="00654C19" w:rsidP="00DD7731">
            <w:pPr>
              <w:widowControl/>
              <w:jc w:val="left"/>
              <w:rPr>
                <w:rFonts w:ascii="仿宋_GB2312" w:eastAsia="仿宋_GB2312" w:hAnsi="宋体" w:cs="宋体"/>
                <w:color w:val="000000"/>
                <w:kern w:val="0"/>
                <w:sz w:val="24"/>
              </w:rPr>
            </w:pPr>
          </w:p>
        </w:tc>
        <w:tc>
          <w:tcPr>
            <w:tcW w:w="1775" w:type="dxa"/>
            <w:vMerge/>
            <w:tcBorders>
              <w:top w:val="nil"/>
              <w:left w:val="single" w:sz="4" w:space="0" w:color="auto"/>
              <w:bottom w:val="single" w:sz="4" w:space="0" w:color="auto"/>
              <w:right w:val="single" w:sz="4" w:space="0" w:color="auto"/>
            </w:tcBorders>
            <w:vAlign w:val="center"/>
          </w:tcPr>
          <w:p w:rsidR="00654C19" w:rsidRPr="003169C4" w:rsidRDefault="00654C19" w:rsidP="00DD7731">
            <w:pPr>
              <w:widowControl/>
              <w:jc w:val="left"/>
              <w:rPr>
                <w:rFonts w:ascii="仿宋_GB2312" w:eastAsia="仿宋_GB2312" w:hAnsi="宋体" w:cs="宋体"/>
                <w:color w:val="000000"/>
                <w:kern w:val="0"/>
                <w:sz w:val="24"/>
              </w:rPr>
            </w:pPr>
          </w:p>
        </w:tc>
        <w:tc>
          <w:tcPr>
            <w:tcW w:w="4211" w:type="dxa"/>
            <w:tcBorders>
              <w:top w:val="nil"/>
              <w:left w:val="nil"/>
              <w:bottom w:val="single" w:sz="4" w:space="0" w:color="auto"/>
              <w:right w:val="single" w:sz="4" w:space="0" w:color="auto"/>
            </w:tcBorders>
            <w:vAlign w:val="center"/>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拨备覆盖率</w:t>
            </w:r>
          </w:p>
        </w:tc>
        <w:tc>
          <w:tcPr>
            <w:tcW w:w="708" w:type="dxa"/>
            <w:tcBorders>
              <w:top w:val="nil"/>
              <w:left w:val="nil"/>
              <w:bottom w:val="single" w:sz="4" w:space="0" w:color="auto"/>
              <w:right w:val="single" w:sz="4" w:space="0" w:color="auto"/>
            </w:tcBorders>
            <w:vAlign w:val="center"/>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2%</w:t>
            </w:r>
          </w:p>
        </w:tc>
        <w:tc>
          <w:tcPr>
            <w:tcW w:w="1391" w:type="dxa"/>
            <w:vMerge/>
            <w:tcBorders>
              <w:top w:val="nil"/>
              <w:left w:val="single" w:sz="4" w:space="0" w:color="auto"/>
              <w:bottom w:val="single" w:sz="4" w:space="0" w:color="auto"/>
              <w:right w:val="single" w:sz="4" w:space="0" w:color="auto"/>
            </w:tcBorders>
            <w:vAlign w:val="center"/>
          </w:tcPr>
          <w:p w:rsidR="00654C19" w:rsidRPr="003169C4" w:rsidRDefault="00654C19" w:rsidP="00DD7731">
            <w:pPr>
              <w:widowControl/>
              <w:jc w:val="left"/>
              <w:rPr>
                <w:rFonts w:ascii="仿宋_GB2312" w:eastAsia="仿宋_GB2312" w:hAnsi="宋体" w:cs="宋体"/>
                <w:color w:val="000000"/>
                <w:kern w:val="0"/>
                <w:sz w:val="24"/>
              </w:rPr>
            </w:pPr>
          </w:p>
        </w:tc>
      </w:tr>
      <w:tr w:rsidR="00654C19" w:rsidRPr="00945255" w:rsidTr="003169C4">
        <w:trPr>
          <w:trHeight w:val="380"/>
          <w:jc w:val="center"/>
        </w:trPr>
        <w:tc>
          <w:tcPr>
            <w:tcW w:w="766" w:type="dxa"/>
            <w:vMerge/>
            <w:tcBorders>
              <w:left w:val="single" w:sz="4" w:space="0" w:color="auto"/>
              <w:bottom w:val="single" w:sz="4" w:space="0" w:color="auto"/>
              <w:right w:val="single" w:sz="4" w:space="0" w:color="auto"/>
            </w:tcBorders>
          </w:tcPr>
          <w:p w:rsidR="00654C19" w:rsidRPr="003169C4" w:rsidRDefault="00654C19" w:rsidP="00DD7731">
            <w:pPr>
              <w:widowControl/>
              <w:jc w:val="left"/>
              <w:rPr>
                <w:rFonts w:ascii="仿宋_GB2312" w:eastAsia="仿宋_GB2312" w:hAnsi="宋体" w:cs="宋体"/>
                <w:color w:val="000000"/>
                <w:kern w:val="0"/>
                <w:sz w:val="24"/>
              </w:rPr>
            </w:pPr>
          </w:p>
        </w:tc>
        <w:tc>
          <w:tcPr>
            <w:tcW w:w="1775" w:type="dxa"/>
            <w:vMerge/>
            <w:tcBorders>
              <w:top w:val="nil"/>
              <w:left w:val="single" w:sz="4" w:space="0" w:color="auto"/>
              <w:bottom w:val="single" w:sz="4" w:space="0" w:color="auto"/>
              <w:right w:val="single" w:sz="4" w:space="0" w:color="auto"/>
            </w:tcBorders>
            <w:vAlign w:val="center"/>
            <w:hideMark/>
          </w:tcPr>
          <w:p w:rsidR="00654C19" w:rsidRPr="003169C4" w:rsidRDefault="00654C19" w:rsidP="00DD7731">
            <w:pPr>
              <w:widowControl/>
              <w:jc w:val="left"/>
              <w:rPr>
                <w:rFonts w:ascii="仿宋_GB2312" w:eastAsia="仿宋_GB2312" w:hAnsi="宋体" w:cs="宋体"/>
                <w:color w:val="000000"/>
                <w:kern w:val="0"/>
                <w:sz w:val="24"/>
              </w:rPr>
            </w:pPr>
          </w:p>
        </w:tc>
        <w:tc>
          <w:tcPr>
            <w:tcW w:w="4211" w:type="dxa"/>
            <w:tcBorders>
              <w:top w:val="nil"/>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流动性覆盖率</w:t>
            </w:r>
          </w:p>
        </w:tc>
        <w:tc>
          <w:tcPr>
            <w:tcW w:w="708" w:type="dxa"/>
            <w:tcBorders>
              <w:top w:val="nil"/>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2%</w:t>
            </w:r>
          </w:p>
        </w:tc>
        <w:tc>
          <w:tcPr>
            <w:tcW w:w="1391" w:type="dxa"/>
            <w:vMerge/>
            <w:tcBorders>
              <w:top w:val="nil"/>
              <w:left w:val="single" w:sz="4" w:space="0" w:color="auto"/>
              <w:bottom w:val="single" w:sz="4" w:space="0" w:color="auto"/>
              <w:right w:val="single" w:sz="4" w:space="0" w:color="auto"/>
            </w:tcBorders>
            <w:vAlign w:val="center"/>
            <w:hideMark/>
          </w:tcPr>
          <w:p w:rsidR="00654C19" w:rsidRPr="003169C4" w:rsidRDefault="00654C19" w:rsidP="00DD7731">
            <w:pPr>
              <w:widowControl/>
              <w:jc w:val="left"/>
              <w:rPr>
                <w:rFonts w:ascii="仿宋_GB2312" w:eastAsia="仿宋_GB2312" w:hAnsi="宋体" w:cs="宋体"/>
                <w:color w:val="000000"/>
                <w:kern w:val="0"/>
                <w:sz w:val="24"/>
              </w:rPr>
            </w:pPr>
          </w:p>
        </w:tc>
      </w:tr>
      <w:tr w:rsidR="00654C19" w:rsidRPr="00945255" w:rsidTr="003169C4">
        <w:trPr>
          <w:trHeight w:val="954"/>
          <w:jc w:val="center"/>
        </w:trPr>
        <w:tc>
          <w:tcPr>
            <w:tcW w:w="766" w:type="dxa"/>
            <w:tcBorders>
              <w:top w:val="nil"/>
              <w:left w:val="single" w:sz="4" w:space="0" w:color="auto"/>
              <w:bottom w:val="single" w:sz="4" w:space="0" w:color="auto"/>
              <w:right w:val="single" w:sz="4" w:space="0" w:color="auto"/>
            </w:tcBorders>
            <w:vAlign w:val="center"/>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五</w:t>
            </w:r>
          </w:p>
        </w:tc>
        <w:tc>
          <w:tcPr>
            <w:tcW w:w="1775" w:type="dxa"/>
            <w:tcBorders>
              <w:top w:val="nil"/>
              <w:left w:val="single" w:sz="4" w:space="0" w:color="auto"/>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资本经营状况</w:t>
            </w:r>
          </w:p>
        </w:tc>
        <w:tc>
          <w:tcPr>
            <w:tcW w:w="4211" w:type="dxa"/>
            <w:tcBorders>
              <w:top w:val="nil"/>
              <w:left w:val="nil"/>
              <w:bottom w:val="single" w:sz="4" w:space="0" w:color="auto"/>
              <w:right w:val="single" w:sz="4" w:space="0" w:color="auto"/>
            </w:tcBorders>
            <w:vAlign w:val="center"/>
            <w:hideMark/>
          </w:tcPr>
          <w:p w:rsidR="00654C19" w:rsidRPr="003169C4" w:rsidRDefault="00BF0618">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总资产、净资产、利润总额、净</w:t>
            </w:r>
            <w:r w:rsidR="00654C19" w:rsidRPr="003169C4">
              <w:rPr>
                <w:rFonts w:ascii="仿宋_GB2312" w:eastAsia="仿宋_GB2312" w:hAnsi="宋体" w:cs="宋体" w:hint="eastAsia"/>
                <w:color w:val="000000"/>
                <w:kern w:val="0"/>
                <w:sz w:val="24"/>
              </w:rPr>
              <w:t>资产收益率、总资产报酬率等</w:t>
            </w:r>
          </w:p>
        </w:tc>
        <w:tc>
          <w:tcPr>
            <w:tcW w:w="708" w:type="dxa"/>
            <w:tcBorders>
              <w:top w:val="nil"/>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10%</w:t>
            </w:r>
          </w:p>
        </w:tc>
        <w:tc>
          <w:tcPr>
            <w:tcW w:w="1391" w:type="dxa"/>
            <w:tcBorders>
              <w:top w:val="nil"/>
              <w:left w:val="single" w:sz="4" w:space="0" w:color="auto"/>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10%</w:t>
            </w:r>
          </w:p>
        </w:tc>
      </w:tr>
      <w:tr w:rsidR="00654C19" w:rsidRPr="00945255" w:rsidTr="003169C4">
        <w:trPr>
          <w:trHeight w:val="510"/>
          <w:jc w:val="center"/>
        </w:trPr>
        <w:tc>
          <w:tcPr>
            <w:tcW w:w="766" w:type="dxa"/>
            <w:tcBorders>
              <w:top w:val="single" w:sz="4" w:space="0" w:color="auto"/>
              <w:left w:val="single" w:sz="4" w:space="0" w:color="auto"/>
              <w:bottom w:val="single" w:sz="4" w:space="0" w:color="auto"/>
              <w:right w:val="single" w:sz="4" w:space="0" w:color="auto"/>
            </w:tcBorders>
            <w:vAlign w:val="center"/>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lastRenderedPageBreak/>
              <w:t>六</w:t>
            </w:r>
          </w:p>
        </w:tc>
        <w:tc>
          <w:tcPr>
            <w:tcW w:w="1775" w:type="dxa"/>
            <w:tcBorders>
              <w:top w:val="single" w:sz="4" w:space="0" w:color="auto"/>
              <w:left w:val="single" w:sz="4" w:space="0" w:color="auto"/>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其他因素</w:t>
            </w:r>
          </w:p>
        </w:tc>
        <w:tc>
          <w:tcPr>
            <w:tcW w:w="4211" w:type="dxa"/>
            <w:tcBorders>
              <w:top w:val="single" w:sz="4" w:space="0" w:color="auto"/>
              <w:left w:val="nil"/>
              <w:bottom w:val="single" w:sz="4" w:space="0" w:color="auto"/>
              <w:right w:val="single" w:sz="4" w:space="0" w:color="auto"/>
            </w:tcBorders>
            <w:vAlign w:val="center"/>
            <w:hideMark/>
          </w:tcPr>
          <w:p w:rsidR="00654C19" w:rsidRPr="003169C4" w:rsidRDefault="00654C19">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研究能力、创新能力、获奖情况、信息系统建设、国债承销违规情况、对财政部会同有关部门开展的储蓄国债发行管理相关工作支持情况（如储蓄国债滞销时销售表现突出、储蓄国债发行管理创新课题研究、国债会议主题发言</w:t>
            </w:r>
            <w:r w:rsidR="0013632A">
              <w:rPr>
                <w:rFonts w:ascii="仿宋_GB2312" w:eastAsia="仿宋_GB2312" w:hAnsi="宋体" w:cs="宋体" w:hint="eastAsia"/>
                <w:color w:val="000000"/>
                <w:kern w:val="0"/>
                <w:sz w:val="24"/>
              </w:rPr>
              <w:t>等</w:t>
            </w:r>
            <w:r w:rsidRPr="003169C4">
              <w:rPr>
                <w:rFonts w:ascii="仿宋_GB2312" w:eastAsia="仿宋_GB2312" w:hAnsi="宋体" w:cs="宋体" w:hint="eastAsia"/>
                <w:color w:val="000000"/>
                <w:kern w:val="0"/>
                <w:sz w:val="24"/>
              </w:rPr>
              <w:t>）、数据报送准确情况，以及业务是否符合国家普惠金融、沿边地区发展政策方向等</w:t>
            </w:r>
          </w:p>
        </w:tc>
        <w:tc>
          <w:tcPr>
            <w:tcW w:w="708" w:type="dxa"/>
            <w:tcBorders>
              <w:top w:val="single" w:sz="4" w:space="0" w:color="auto"/>
              <w:left w:val="nil"/>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10%</w:t>
            </w:r>
          </w:p>
        </w:tc>
        <w:tc>
          <w:tcPr>
            <w:tcW w:w="1391" w:type="dxa"/>
            <w:tcBorders>
              <w:top w:val="single" w:sz="4" w:space="0" w:color="auto"/>
              <w:left w:val="single" w:sz="4" w:space="0" w:color="auto"/>
              <w:bottom w:val="single" w:sz="4" w:space="0" w:color="auto"/>
              <w:right w:val="single" w:sz="4"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10%</w:t>
            </w:r>
          </w:p>
        </w:tc>
      </w:tr>
    </w:tbl>
    <w:p w:rsidR="00945255" w:rsidRDefault="00945255" w:rsidP="00654C19">
      <w:pPr>
        <w:spacing w:line="600" w:lineRule="exact"/>
        <w:ind w:firstLineChars="188" w:firstLine="566"/>
        <w:jc w:val="left"/>
        <w:rPr>
          <w:rFonts w:ascii="仿宋_GB2312" w:eastAsia="仿宋_GB2312" w:hAnsi="宋体"/>
          <w:b/>
          <w:sz w:val="30"/>
          <w:szCs w:val="30"/>
        </w:rPr>
      </w:pPr>
    </w:p>
    <w:p w:rsidR="00654C19" w:rsidRPr="00774D5F" w:rsidRDefault="00654C19" w:rsidP="00654C19">
      <w:pPr>
        <w:spacing w:line="600" w:lineRule="exact"/>
        <w:ind w:firstLineChars="188" w:firstLine="566"/>
        <w:jc w:val="left"/>
        <w:rPr>
          <w:rFonts w:ascii="仿宋_GB2312" w:eastAsia="仿宋_GB2312" w:hAnsi="宋体"/>
          <w:b/>
          <w:sz w:val="30"/>
          <w:szCs w:val="30"/>
        </w:rPr>
      </w:pPr>
      <w:r w:rsidRPr="00774D5F">
        <w:rPr>
          <w:rFonts w:ascii="仿宋_GB2312" w:eastAsia="仿宋_GB2312" w:hAnsi="宋体" w:hint="eastAsia"/>
          <w:b/>
          <w:sz w:val="30"/>
          <w:szCs w:val="30"/>
        </w:rPr>
        <w:t>二、记账式国债承销团</w:t>
      </w:r>
    </w:p>
    <w:p w:rsidR="002F4343" w:rsidRDefault="00654C19" w:rsidP="002F4343">
      <w:pPr>
        <w:spacing w:beforeLines="50" w:afterLines="50" w:line="580" w:lineRule="exact"/>
        <w:ind w:firstLineChars="200" w:firstLine="600"/>
        <w:jc w:val="left"/>
        <w:rPr>
          <w:rFonts w:ascii="仿宋_GB2312" w:eastAsia="仿宋_GB2312" w:hAnsi="Calibri" w:hint="eastAsia"/>
          <w:sz w:val="30"/>
          <w:szCs w:val="30"/>
        </w:rPr>
      </w:pPr>
      <w:r w:rsidRPr="00774D5F">
        <w:rPr>
          <w:rFonts w:ascii="仿宋_GB2312" w:eastAsia="仿宋_GB2312" w:hAnsi="宋体" w:hint="eastAsia"/>
          <w:sz w:val="30"/>
          <w:szCs w:val="30"/>
        </w:rPr>
        <w:t>评审指标包括6个方面：国债一级市场情况、国债二级市场</w:t>
      </w:r>
      <w:r w:rsidR="00945255">
        <w:rPr>
          <w:rFonts w:ascii="仿宋_GB2312" w:eastAsia="仿宋_GB2312" w:hAnsi="宋体" w:hint="eastAsia"/>
          <w:sz w:val="30"/>
          <w:szCs w:val="30"/>
        </w:rPr>
        <w:t>交易及做市</w:t>
      </w:r>
      <w:r w:rsidRPr="00774D5F">
        <w:rPr>
          <w:rFonts w:ascii="仿宋_GB2312" w:eastAsia="仿宋_GB2312" w:hAnsi="宋体" w:hint="eastAsia"/>
          <w:sz w:val="30"/>
          <w:szCs w:val="30"/>
        </w:rPr>
        <w:t>情况、</w:t>
      </w:r>
      <w:r w:rsidRPr="00774D5F">
        <w:rPr>
          <w:rFonts w:ascii="仿宋_GB2312" w:eastAsia="仿宋_GB2312" w:hAnsi="Calibri" w:hint="eastAsia"/>
          <w:sz w:val="30"/>
          <w:szCs w:val="30"/>
        </w:rPr>
        <w:t>国债持有情况、其他债券承销交易情况、资本经营及风险防控状况、其他因素，权重分别为20%、35%、15%、10%、10%、10%（详见表2）。</w:t>
      </w:r>
    </w:p>
    <w:p w:rsidR="002F4343" w:rsidRDefault="002F4343" w:rsidP="002F4343">
      <w:pPr>
        <w:spacing w:beforeLines="50" w:afterLines="50" w:line="580" w:lineRule="exact"/>
        <w:ind w:firstLineChars="200" w:firstLine="600"/>
        <w:jc w:val="left"/>
        <w:rPr>
          <w:rFonts w:ascii="仿宋_GB2312" w:eastAsia="仿宋_GB2312" w:hAnsi="Calibri" w:hint="eastAsia"/>
          <w:sz w:val="30"/>
          <w:szCs w:val="30"/>
        </w:rPr>
      </w:pPr>
    </w:p>
    <w:p w:rsidR="00654C19" w:rsidRPr="00774D5F" w:rsidRDefault="00654C19" w:rsidP="002F4343">
      <w:pPr>
        <w:spacing w:beforeLines="50" w:afterLines="50" w:line="580" w:lineRule="exact"/>
        <w:jc w:val="center"/>
        <w:rPr>
          <w:rFonts w:ascii="仿宋_GB2312" w:eastAsia="仿宋_GB2312" w:hAnsi="Calibri"/>
          <w:sz w:val="30"/>
          <w:szCs w:val="30"/>
        </w:rPr>
      </w:pPr>
      <w:r w:rsidRPr="00774D5F">
        <w:rPr>
          <w:rFonts w:ascii="仿宋_GB2312" w:eastAsia="仿宋_GB2312" w:hAnsi="Calibri" w:hint="eastAsia"/>
          <w:sz w:val="30"/>
          <w:szCs w:val="30"/>
        </w:rPr>
        <w:t>表2 ：记账式国债承销团评审指标</w:t>
      </w:r>
    </w:p>
    <w:tbl>
      <w:tblPr>
        <w:tblW w:w="8931" w:type="dxa"/>
        <w:tblInd w:w="-176" w:type="dxa"/>
        <w:tblLayout w:type="fixed"/>
        <w:tblLook w:val="04A0"/>
      </w:tblPr>
      <w:tblGrid>
        <w:gridCol w:w="851"/>
        <w:gridCol w:w="1843"/>
        <w:gridCol w:w="4678"/>
        <w:gridCol w:w="709"/>
        <w:gridCol w:w="850"/>
      </w:tblGrid>
      <w:tr w:rsidR="00654C19" w:rsidRPr="00945255" w:rsidTr="00DD7731">
        <w:trPr>
          <w:trHeight w:val="489"/>
        </w:trPr>
        <w:tc>
          <w:tcPr>
            <w:tcW w:w="851" w:type="dxa"/>
            <w:tcBorders>
              <w:top w:val="single" w:sz="8" w:space="0" w:color="auto"/>
              <w:left w:val="single" w:sz="8" w:space="0" w:color="auto"/>
              <w:bottom w:val="single" w:sz="8" w:space="0" w:color="auto"/>
              <w:right w:val="single" w:sz="8" w:space="0" w:color="auto"/>
            </w:tcBorders>
            <w:vAlign w:val="center"/>
          </w:tcPr>
          <w:p w:rsidR="00654C19" w:rsidRPr="003169C4" w:rsidRDefault="00654C19" w:rsidP="00DD7731">
            <w:pPr>
              <w:widowControl/>
              <w:jc w:val="center"/>
              <w:rPr>
                <w:rFonts w:ascii="仿宋_GB2312" w:eastAsia="仿宋_GB2312" w:hAnsi="宋体" w:cs="宋体"/>
                <w:b/>
                <w:bCs/>
                <w:color w:val="000000"/>
                <w:kern w:val="0"/>
                <w:sz w:val="24"/>
              </w:rPr>
            </w:pPr>
            <w:r w:rsidRPr="003169C4">
              <w:rPr>
                <w:rFonts w:ascii="仿宋_GB2312" w:eastAsia="仿宋_GB2312" w:hAnsi="宋体" w:cs="宋体" w:hint="eastAsia"/>
                <w:b/>
                <w:bCs/>
                <w:color w:val="000000"/>
                <w:kern w:val="0"/>
                <w:sz w:val="24"/>
              </w:rPr>
              <w:t>序号</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4C19" w:rsidRPr="003169C4" w:rsidRDefault="00654C19" w:rsidP="00DD7731">
            <w:pPr>
              <w:widowControl/>
              <w:jc w:val="center"/>
              <w:rPr>
                <w:rFonts w:ascii="仿宋_GB2312" w:eastAsia="仿宋_GB2312" w:hAnsi="宋体" w:cs="宋体"/>
                <w:b/>
                <w:bCs/>
                <w:color w:val="000000"/>
                <w:kern w:val="0"/>
                <w:sz w:val="24"/>
              </w:rPr>
            </w:pPr>
            <w:r w:rsidRPr="003169C4">
              <w:rPr>
                <w:rFonts w:ascii="仿宋_GB2312" w:eastAsia="仿宋_GB2312" w:hAnsi="宋体" w:cs="宋体" w:hint="eastAsia"/>
                <w:b/>
                <w:bCs/>
                <w:color w:val="000000"/>
                <w:kern w:val="0"/>
                <w:sz w:val="24"/>
              </w:rPr>
              <w:t>类别</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654C19" w:rsidRPr="003169C4" w:rsidRDefault="00654C19" w:rsidP="00DD7731">
            <w:pPr>
              <w:widowControl/>
              <w:jc w:val="center"/>
              <w:rPr>
                <w:rFonts w:ascii="仿宋_GB2312" w:eastAsia="仿宋_GB2312" w:hAnsi="宋体" w:cs="宋体"/>
                <w:b/>
                <w:bCs/>
                <w:color w:val="000000"/>
                <w:kern w:val="0"/>
                <w:sz w:val="24"/>
              </w:rPr>
            </w:pPr>
            <w:r w:rsidRPr="003169C4">
              <w:rPr>
                <w:rFonts w:ascii="仿宋_GB2312" w:eastAsia="仿宋_GB2312" w:hAnsi="宋体" w:cs="宋体" w:hint="eastAsia"/>
                <w:b/>
                <w:bCs/>
                <w:color w:val="000000"/>
                <w:kern w:val="0"/>
                <w:sz w:val="24"/>
              </w:rPr>
              <w:t>分项指标</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654C19" w:rsidRPr="003169C4" w:rsidRDefault="00654C19" w:rsidP="00DD7731">
            <w:pPr>
              <w:widowControl/>
              <w:jc w:val="center"/>
              <w:rPr>
                <w:rFonts w:ascii="仿宋_GB2312" w:eastAsia="仿宋_GB2312" w:hAnsi="宋体" w:cs="宋体"/>
                <w:b/>
                <w:bCs/>
                <w:color w:val="000000"/>
                <w:kern w:val="0"/>
                <w:sz w:val="24"/>
              </w:rPr>
            </w:pPr>
            <w:r w:rsidRPr="003169C4">
              <w:rPr>
                <w:rFonts w:ascii="仿宋_GB2312" w:eastAsia="仿宋_GB2312" w:hAnsi="宋体" w:cs="宋体" w:hint="eastAsia"/>
                <w:b/>
                <w:bCs/>
                <w:color w:val="000000"/>
                <w:kern w:val="0"/>
                <w:sz w:val="24"/>
              </w:rPr>
              <w:t>权重</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654C19" w:rsidRPr="003169C4" w:rsidRDefault="00654C19" w:rsidP="00DD7731">
            <w:pPr>
              <w:widowControl/>
              <w:jc w:val="center"/>
              <w:rPr>
                <w:rFonts w:ascii="仿宋_GB2312" w:eastAsia="仿宋_GB2312" w:hAnsi="宋体" w:cs="宋体"/>
                <w:b/>
                <w:bCs/>
                <w:color w:val="000000"/>
                <w:kern w:val="0"/>
                <w:sz w:val="24"/>
              </w:rPr>
            </w:pPr>
            <w:r w:rsidRPr="003169C4">
              <w:rPr>
                <w:rFonts w:ascii="仿宋_GB2312" w:eastAsia="仿宋_GB2312" w:hAnsi="宋体" w:cs="宋体" w:hint="eastAsia"/>
                <w:b/>
                <w:bCs/>
                <w:color w:val="000000"/>
                <w:kern w:val="0"/>
                <w:sz w:val="24"/>
              </w:rPr>
              <w:t>权重合计</w:t>
            </w:r>
          </w:p>
        </w:tc>
      </w:tr>
      <w:tr w:rsidR="00654C19" w:rsidRPr="00945255" w:rsidTr="00DD7731">
        <w:trPr>
          <w:trHeight w:val="380"/>
        </w:trPr>
        <w:tc>
          <w:tcPr>
            <w:tcW w:w="851" w:type="dxa"/>
            <w:vMerge w:val="restart"/>
            <w:tcBorders>
              <w:top w:val="nil"/>
              <w:left w:val="single" w:sz="8" w:space="0" w:color="auto"/>
              <w:right w:val="single" w:sz="8" w:space="0" w:color="auto"/>
            </w:tcBorders>
            <w:vAlign w:val="center"/>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一</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国债一级市场情况</w:t>
            </w:r>
          </w:p>
        </w:tc>
        <w:tc>
          <w:tcPr>
            <w:tcW w:w="4678" w:type="dxa"/>
            <w:tcBorders>
              <w:top w:val="nil"/>
              <w:left w:val="nil"/>
              <w:bottom w:val="single" w:sz="8" w:space="0" w:color="auto"/>
              <w:right w:val="single" w:sz="8" w:space="0" w:color="auto"/>
            </w:tcBorders>
            <w:shd w:val="clear" w:color="auto" w:fill="auto"/>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承销量</w:t>
            </w:r>
          </w:p>
        </w:tc>
        <w:tc>
          <w:tcPr>
            <w:tcW w:w="709" w:type="dxa"/>
            <w:tcBorders>
              <w:top w:val="nil"/>
              <w:left w:val="nil"/>
              <w:bottom w:val="single" w:sz="8" w:space="0" w:color="auto"/>
              <w:right w:val="single" w:sz="8" w:space="0" w:color="auto"/>
            </w:tcBorders>
            <w:shd w:val="clear" w:color="auto" w:fill="auto"/>
            <w:noWrap/>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15%</w:t>
            </w:r>
          </w:p>
        </w:tc>
        <w:tc>
          <w:tcPr>
            <w:tcW w:w="850" w:type="dxa"/>
            <w:vMerge w:val="restart"/>
            <w:tcBorders>
              <w:top w:val="nil"/>
              <w:left w:val="single" w:sz="8" w:space="0" w:color="auto"/>
              <w:bottom w:val="nil"/>
              <w:right w:val="single" w:sz="8" w:space="0" w:color="auto"/>
            </w:tcBorders>
            <w:shd w:val="clear" w:color="auto" w:fill="auto"/>
            <w:noWrap/>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20%</w:t>
            </w:r>
          </w:p>
        </w:tc>
      </w:tr>
      <w:tr w:rsidR="00654C19" w:rsidRPr="00945255" w:rsidTr="00DD7731">
        <w:trPr>
          <w:trHeight w:val="380"/>
        </w:trPr>
        <w:tc>
          <w:tcPr>
            <w:tcW w:w="851" w:type="dxa"/>
            <w:vMerge/>
            <w:tcBorders>
              <w:left w:val="single" w:sz="8" w:space="0" w:color="auto"/>
              <w:right w:val="single" w:sz="8" w:space="0" w:color="auto"/>
            </w:tcBorders>
          </w:tcPr>
          <w:p w:rsidR="00654C19" w:rsidRPr="003169C4" w:rsidRDefault="00654C19" w:rsidP="00DD7731">
            <w:pPr>
              <w:widowControl/>
              <w:jc w:val="left"/>
              <w:rPr>
                <w:rFonts w:ascii="仿宋_GB2312" w:eastAsia="仿宋_GB2312" w:hAnsi="宋体" w:cs="宋体"/>
                <w:color w:val="000000"/>
                <w:kern w:val="0"/>
                <w:sz w:val="24"/>
              </w:rPr>
            </w:pPr>
          </w:p>
        </w:tc>
        <w:tc>
          <w:tcPr>
            <w:tcW w:w="1843" w:type="dxa"/>
            <w:vMerge/>
            <w:tcBorders>
              <w:top w:val="nil"/>
              <w:left w:val="single" w:sz="8" w:space="0" w:color="auto"/>
              <w:bottom w:val="single" w:sz="8" w:space="0" w:color="000000"/>
              <w:right w:val="single" w:sz="8" w:space="0" w:color="auto"/>
            </w:tcBorders>
            <w:vAlign w:val="center"/>
            <w:hideMark/>
          </w:tcPr>
          <w:p w:rsidR="00654C19" w:rsidRPr="003169C4" w:rsidRDefault="00654C19" w:rsidP="00DD7731">
            <w:pPr>
              <w:widowControl/>
              <w:jc w:val="left"/>
              <w:rPr>
                <w:rFonts w:ascii="仿宋_GB2312" w:eastAsia="仿宋_GB2312" w:hAnsi="宋体" w:cs="宋体"/>
                <w:color w:val="000000"/>
                <w:kern w:val="0"/>
                <w:sz w:val="24"/>
              </w:rPr>
            </w:pPr>
          </w:p>
        </w:tc>
        <w:tc>
          <w:tcPr>
            <w:tcW w:w="4678" w:type="dxa"/>
            <w:tcBorders>
              <w:top w:val="nil"/>
              <w:left w:val="nil"/>
              <w:bottom w:val="single" w:sz="8" w:space="0" w:color="auto"/>
              <w:right w:val="single" w:sz="8" w:space="0" w:color="auto"/>
            </w:tcBorders>
            <w:shd w:val="clear" w:color="auto" w:fill="auto"/>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分销量</w:t>
            </w:r>
          </w:p>
        </w:tc>
        <w:tc>
          <w:tcPr>
            <w:tcW w:w="709" w:type="dxa"/>
            <w:tcBorders>
              <w:top w:val="nil"/>
              <w:left w:val="nil"/>
              <w:bottom w:val="single" w:sz="8" w:space="0" w:color="auto"/>
              <w:right w:val="single" w:sz="8" w:space="0" w:color="auto"/>
            </w:tcBorders>
            <w:shd w:val="clear" w:color="auto" w:fill="auto"/>
            <w:noWrap/>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2%</w:t>
            </w:r>
          </w:p>
        </w:tc>
        <w:tc>
          <w:tcPr>
            <w:tcW w:w="850" w:type="dxa"/>
            <w:vMerge/>
            <w:tcBorders>
              <w:top w:val="nil"/>
              <w:left w:val="single" w:sz="8" w:space="0" w:color="auto"/>
              <w:bottom w:val="nil"/>
              <w:right w:val="single" w:sz="8" w:space="0" w:color="auto"/>
            </w:tcBorders>
            <w:vAlign w:val="center"/>
            <w:hideMark/>
          </w:tcPr>
          <w:p w:rsidR="00654C19" w:rsidRPr="003169C4" w:rsidRDefault="00654C19" w:rsidP="00DD7731">
            <w:pPr>
              <w:widowControl/>
              <w:jc w:val="left"/>
              <w:rPr>
                <w:rFonts w:ascii="仿宋_GB2312" w:eastAsia="仿宋_GB2312" w:hAnsi="宋体" w:cs="宋体"/>
                <w:color w:val="000000"/>
                <w:kern w:val="0"/>
                <w:sz w:val="24"/>
              </w:rPr>
            </w:pPr>
          </w:p>
        </w:tc>
      </w:tr>
      <w:tr w:rsidR="00654C19" w:rsidRPr="00945255" w:rsidTr="00DD7731">
        <w:trPr>
          <w:trHeight w:val="380"/>
        </w:trPr>
        <w:tc>
          <w:tcPr>
            <w:tcW w:w="851" w:type="dxa"/>
            <w:vMerge/>
            <w:tcBorders>
              <w:left w:val="single" w:sz="8" w:space="0" w:color="auto"/>
              <w:bottom w:val="single" w:sz="8" w:space="0" w:color="000000"/>
              <w:right w:val="single" w:sz="8" w:space="0" w:color="auto"/>
            </w:tcBorders>
          </w:tcPr>
          <w:p w:rsidR="00654C19" w:rsidRPr="003169C4" w:rsidRDefault="00654C19" w:rsidP="00DD7731">
            <w:pPr>
              <w:widowControl/>
              <w:jc w:val="left"/>
              <w:rPr>
                <w:rFonts w:ascii="仿宋_GB2312" w:eastAsia="仿宋_GB2312" w:hAnsi="宋体" w:cs="宋体"/>
                <w:color w:val="000000"/>
                <w:kern w:val="0"/>
                <w:sz w:val="24"/>
              </w:rPr>
            </w:pPr>
          </w:p>
        </w:tc>
        <w:tc>
          <w:tcPr>
            <w:tcW w:w="1843" w:type="dxa"/>
            <w:vMerge/>
            <w:tcBorders>
              <w:top w:val="nil"/>
              <w:left w:val="single" w:sz="8" w:space="0" w:color="auto"/>
              <w:bottom w:val="single" w:sz="8" w:space="0" w:color="000000"/>
              <w:right w:val="single" w:sz="8" w:space="0" w:color="auto"/>
            </w:tcBorders>
            <w:vAlign w:val="center"/>
            <w:hideMark/>
          </w:tcPr>
          <w:p w:rsidR="00654C19" w:rsidRPr="003169C4" w:rsidRDefault="00654C19" w:rsidP="00DD7731">
            <w:pPr>
              <w:widowControl/>
              <w:jc w:val="left"/>
              <w:rPr>
                <w:rFonts w:ascii="仿宋_GB2312" w:eastAsia="仿宋_GB2312" w:hAnsi="宋体" w:cs="宋体"/>
                <w:color w:val="000000"/>
                <w:kern w:val="0"/>
                <w:sz w:val="24"/>
              </w:rPr>
            </w:pPr>
          </w:p>
        </w:tc>
        <w:tc>
          <w:tcPr>
            <w:tcW w:w="4678" w:type="dxa"/>
            <w:tcBorders>
              <w:top w:val="nil"/>
              <w:left w:val="nil"/>
              <w:bottom w:val="single" w:sz="8" w:space="0" w:color="auto"/>
              <w:right w:val="single" w:sz="8" w:space="0" w:color="auto"/>
            </w:tcBorders>
            <w:shd w:val="clear" w:color="auto" w:fill="auto"/>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投标准确度</w:t>
            </w:r>
          </w:p>
        </w:tc>
        <w:tc>
          <w:tcPr>
            <w:tcW w:w="709" w:type="dxa"/>
            <w:tcBorders>
              <w:top w:val="nil"/>
              <w:left w:val="nil"/>
              <w:bottom w:val="single" w:sz="8" w:space="0" w:color="auto"/>
              <w:right w:val="single" w:sz="8" w:space="0" w:color="auto"/>
            </w:tcBorders>
            <w:shd w:val="clear" w:color="auto" w:fill="auto"/>
            <w:noWrap/>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3%</w:t>
            </w:r>
          </w:p>
        </w:tc>
        <w:tc>
          <w:tcPr>
            <w:tcW w:w="850" w:type="dxa"/>
            <w:vMerge/>
            <w:tcBorders>
              <w:top w:val="nil"/>
              <w:left w:val="single" w:sz="8" w:space="0" w:color="auto"/>
              <w:bottom w:val="nil"/>
              <w:right w:val="single" w:sz="8" w:space="0" w:color="auto"/>
            </w:tcBorders>
            <w:vAlign w:val="center"/>
            <w:hideMark/>
          </w:tcPr>
          <w:p w:rsidR="00654C19" w:rsidRPr="003169C4" w:rsidRDefault="00654C19" w:rsidP="00DD7731">
            <w:pPr>
              <w:widowControl/>
              <w:jc w:val="left"/>
              <w:rPr>
                <w:rFonts w:ascii="仿宋_GB2312" w:eastAsia="仿宋_GB2312" w:hAnsi="宋体" w:cs="宋体"/>
                <w:color w:val="000000"/>
                <w:kern w:val="0"/>
                <w:sz w:val="24"/>
              </w:rPr>
            </w:pPr>
          </w:p>
        </w:tc>
      </w:tr>
      <w:tr w:rsidR="00654C19" w:rsidRPr="00945255" w:rsidTr="00DD7731">
        <w:trPr>
          <w:trHeight w:val="380"/>
        </w:trPr>
        <w:tc>
          <w:tcPr>
            <w:tcW w:w="851" w:type="dxa"/>
            <w:vMerge w:val="restart"/>
            <w:tcBorders>
              <w:top w:val="nil"/>
              <w:left w:val="single" w:sz="8" w:space="0" w:color="auto"/>
              <w:right w:val="single" w:sz="8" w:space="0" w:color="auto"/>
            </w:tcBorders>
            <w:vAlign w:val="center"/>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二</w:t>
            </w:r>
          </w:p>
        </w:tc>
        <w:tc>
          <w:tcPr>
            <w:tcW w:w="1843" w:type="dxa"/>
            <w:vMerge w:val="restart"/>
            <w:tcBorders>
              <w:top w:val="nil"/>
              <w:left w:val="single" w:sz="8" w:space="0" w:color="auto"/>
              <w:bottom w:val="nil"/>
              <w:right w:val="single" w:sz="8" w:space="0" w:color="auto"/>
            </w:tcBorders>
            <w:shd w:val="clear" w:color="auto" w:fill="auto"/>
            <w:vAlign w:val="center"/>
            <w:hideMark/>
          </w:tcPr>
          <w:p w:rsidR="00945255"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国债二级市场</w:t>
            </w:r>
            <w:r w:rsidR="00945255">
              <w:rPr>
                <w:rFonts w:ascii="仿宋_GB2312" w:eastAsia="仿宋_GB2312" w:hAnsi="宋体" w:cs="宋体" w:hint="eastAsia"/>
                <w:color w:val="000000"/>
                <w:kern w:val="0"/>
                <w:sz w:val="24"/>
              </w:rPr>
              <w:t>交易及做市</w:t>
            </w:r>
          </w:p>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情况</w:t>
            </w:r>
            <w:r w:rsidR="0025524F" w:rsidRPr="003169C4">
              <w:rPr>
                <w:rStyle w:val="a5"/>
                <w:rFonts w:ascii="仿宋_GB2312" w:eastAsia="仿宋_GB2312" w:hAnsi="宋体" w:cs="宋体"/>
                <w:color w:val="000000"/>
                <w:kern w:val="0"/>
                <w:sz w:val="24"/>
              </w:rPr>
              <w:footnoteReference w:id="2"/>
            </w:r>
          </w:p>
        </w:tc>
        <w:tc>
          <w:tcPr>
            <w:tcW w:w="4678" w:type="dxa"/>
            <w:tcBorders>
              <w:top w:val="nil"/>
              <w:left w:val="nil"/>
              <w:bottom w:val="single" w:sz="8" w:space="0" w:color="auto"/>
              <w:right w:val="single" w:sz="8" w:space="0" w:color="auto"/>
            </w:tcBorders>
            <w:shd w:val="clear" w:color="auto" w:fill="auto"/>
            <w:vAlign w:val="center"/>
            <w:hideMark/>
          </w:tcPr>
          <w:p w:rsidR="00654C19" w:rsidRPr="003169C4" w:rsidRDefault="00654C19">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现券交易量</w:t>
            </w:r>
            <w:r w:rsidR="00945255" w:rsidRPr="003169C4">
              <w:rPr>
                <w:rFonts w:ascii="仿宋_GB2312" w:eastAsia="仿宋_GB2312" w:hAnsi="宋体" w:cs="宋体" w:hint="eastAsia"/>
                <w:color w:val="000000"/>
                <w:kern w:val="0"/>
                <w:sz w:val="24"/>
              </w:rPr>
              <w:t>与随买随</w:t>
            </w:r>
            <w:r w:rsidR="00E76567">
              <w:rPr>
                <w:rFonts w:ascii="仿宋_GB2312" w:eastAsia="仿宋_GB2312" w:hAnsi="宋体" w:cs="宋体" w:hint="eastAsia"/>
                <w:color w:val="000000"/>
                <w:kern w:val="0"/>
                <w:sz w:val="24"/>
              </w:rPr>
              <w:t>卖</w:t>
            </w:r>
            <w:r w:rsidR="00945255" w:rsidRPr="003169C4">
              <w:rPr>
                <w:rFonts w:ascii="仿宋_GB2312" w:eastAsia="仿宋_GB2312" w:hAnsi="宋体" w:cs="宋体" w:hint="eastAsia"/>
                <w:color w:val="000000"/>
                <w:kern w:val="0"/>
                <w:sz w:val="24"/>
              </w:rPr>
              <w:t>交易量</w:t>
            </w:r>
          </w:p>
        </w:tc>
        <w:tc>
          <w:tcPr>
            <w:tcW w:w="709" w:type="dxa"/>
            <w:tcBorders>
              <w:top w:val="nil"/>
              <w:left w:val="nil"/>
              <w:bottom w:val="single" w:sz="8" w:space="0" w:color="auto"/>
              <w:right w:val="nil"/>
            </w:tcBorders>
            <w:shd w:val="clear" w:color="auto" w:fill="auto"/>
            <w:noWrap/>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15%</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35%</w:t>
            </w:r>
          </w:p>
        </w:tc>
      </w:tr>
      <w:tr w:rsidR="00654C19" w:rsidRPr="00945255" w:rsidTr="00DD7731">
        <w:trPr>
          <w:trHeight w:val="380"/>
        </w:trPr>
        <w:tc>
          <w:tcPr>
            <w:tcW w:w="851" w:type="dxa"/>
            <w:vMerge/>
            <w:tcBorders>
              <w:left w:val="single" w:sz="8" w:space="0" w:color="auto"/>
              <w:right w:val="single" w:sz="8" w:space="0" w:color="auto"/>
            </w:tcBorders>
          </w:tcPr>
          <w:p w:rsidR="00654C19" w:rsidRPr="003169C4" w:rsidRDefault="00654C19" w:rsidP="00DD7731">
            <w:pPr>
              <w:widowControl/>
              <w:jc w:val="left"/>
              <w:rPr>
                <w:rFonts w:ascii="仿宋_GB2312" w:eastAsia="仿宋_GB2312" w:hAnsi="宋体" w:cs="宋体"/>
                <w:color w:val="000000"/>
                <w:kern w:val="0"/>
                <w:sz w:val="24"/>
              </w:rPr>
            </w:pPr>
          </w:p>
        </w:tc>
        <w:tc>
          <w:tcPr>
            <w:tcW w:w="1843" w:type="dxa"/>
            <w:vMerge/>
            <w:tcBorders>
              <w:top w:val="nil"/>
              <w:left w:val="single" w:sz="8" w:space="0" w:color="auto"/>
              <w:bottom w:val="nil"/>
              <w:right w:val="single" w:sz="8" w:space="0" w:color="auto"/>
            </w:tcBorders>
            <w:vAlign w:val="center"/>
            <w:hideMark/>
          </w:tcPr>
          <w:p w:rsidR="00654C19" w:rsidRPr="003169C4" w:rsidRDefault="00654C19" w:rsidP="00DD7731">
            <w:pPr>
              <w:widowControl/>
              <w:jc w:val="left"/>
              <w:rPr>
                <w:rFonts w:ascii="仿宋_GB2312" w:eastAsia="仿宋_GB2312" w:hAnsi="宋体" w:cs="宋体"/>
                <w:color w:val="000000"/>
                <w:kern w:val="0"/>
                <w:sz w:val="24"/>
              </w:rPr>
            </w:pPr>
          </w:p>
        </w:tc>
        <w:tc>
          <w:tcPr>
            <w:tcW w:w="4678" w:type="dxa"/>
            <w:tcBorders>
              <w:top w:val="nil"/>
              <w:left w:val="nil"/>
              <w:bottom w:val="single" w:sz="8" w:space="0" w:color="auto"/>
              <w:right w:val="single" w:sz="8" w:space="0" w:color="auto"/>
            </w:tcBorders>
            <w:shd w:val="clear" w:color="auto" w:fill="auto"/>
            <w:vAlign w:val="center"/>
            <w:hideMark/>
          </w:tcPr>
          <w:p w:rsidR="00654C19" w:rsidRPr="003169C4" w:rsidRDefault="00654C19">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回购、逆回购交易量</w:t>
            </w:r>
          </w:p>
        </w:tc>
        <w:tc>
          <w:tcPr>
            <w:tcW w:w="709" w:type="dxa"/>
            <w:tcBorders>
              <w:top w:val="nil"/>
              <w:left w:val="nil"/>
              <w:bottom w:val="single" w:sz="8" w:space="0" w:color="auto"/>
              <w:right w:val="nil"/>
            </w:tcBorders>
            <w:shd w:val="clear" w:color="auto" w:fill="auto"/>
            <w:noWrap/>
            <w:vAlign w:val="center"/>
            <w:hideMark/>
          </w:tcPr>
          <w:p w:rsidR="00654C19" w:rsidRPr="003169C4" w:rsidRDefault="00945255" w:rsidP="00DD773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w:t>
            </w:r>
            <w:r w:rsidR="00654C19" w:rsidRPr="003169C4">
              <w:rPr>
                <w:rFonts w:ascii="仿宋_GB2312" w:eastAsia="仿宋_GB2312" w:hAnsi="宋体" w:cs="宋体"/>
                <w:color w:val="000000"/>
                <w:kern w:val="0"/>
                <w:sz w:val="24"/>
              </w:rPr>
              <w:t>%</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654C19" w:rsidRPr="003169C4" w:rsidRDefault="00654C19" w:rsidP="00DD7731">
            <w:pPr>
              <w:widowControl/>
              <w:jc w:val="left"/>
              <w:rPr>
                <w:rFonts w:ascii="仿宋_GB2312" w:eastAsia="仿宋_GB2312" w:hAnsi="宋体" w:cs="宋体"/>
                <w:color w:val="000000"/>
                <w:kern w:val="0"/>
                <w:sz w:val="24"/>
              </w:rPr>
            </w:pPr>
          </w:p>
        </w:tc>
      </w:tr>
      <w:tr w:rsidR="00654C19" w:rsidRPr="00945255" w:rsidTr="00DD7731">
        <w:trPr>
          <w:trHeight w:val="380"/>
        </w:trPr>
        <w:tc>
          <w:tcPr>
            <w:tcW w:w="851" w:type="dxa"/>
            <w:vMerge/>
            <w:tcBorders>
              <w:left w:val="single" w:sz="8" w:space="0" w:color="auto"/>
              <w:right w:val="single" w:sz="8" w:space="0" w:color="auto"/>
            </w:tcBorders>
          </w:tcPr>
          <w:p w:rsidR="00654C19" w:rsidRPr="003169C4" w:rsidRDefault="00654C19" w:rsidP="00DD7731">
            <w:pPr>
              <w:widowControl/>
              <w:jc w:val="left"/>
              <w:rPr>
                <w:rFonts w:ascii="仿宋_GB2312" w:eastAsia="仿宋_GB2312" w:hAnsi="宋体" w:cs="宋体"/>
                <w:color w:val="000000"/>
                <w:kern w:val="0"/>
                <w:sz w:val="24"/>
              </w:rPr>
            </w:pPr>
          </w:p>
        </w:tc>
        <w:tc>
          <w:tcPr>
            <w:tcW w:w="1843" w:type="dxa"/>
            <w:vMerge/>
            <w:tcBorders>
              <w:top w:val="nil"/>
              <w:left w:val="single" w:sz="8" w:space="0" w:color="auto"/>
              <w:bottom w:val="nil"/>
              <w:right w:val="single" w:sz="8" w:space="0" w:color="auto"/>
            </w:tcBorders>
            <w:vAlign w:val="center"/>
            <w:hideMark/>
          </w:tcPr>
          <w:p w:rsidR="00654C19" w:rsidRPr="003169C4" w:rsidRDefault="00654C19" w:rsidP="00DD7731">
            <w:pPr>
              <w:widowControl/>
              <w:jc w:val="left"/>
              <w:rPr>
                <w:rFonts w:ascii="仿宋_GB2312" w:eastAsia="仿宋_GB2312" w:hAnsi="宋体" w:cs="宋体"/>
                <w:color w:val="000000"/>
                <w:kern w:val="0"/>
                <w:sz w:val="24"/>
              </w:rPr>
            </w:pPr>
          </w:p>
        </w:tc>
        <w:tc>
          <w:tcPr>
            <w:tcW w:w="4678" w:type="dxa"/>
            <w:tcBorders>
              <w:top w:val="nil"/>
              <w:left w:val="nil"/>
              <w:bottom w:val="single" w:sz="8" w:space="0" w:color="auto"/>
              <w:right w:val="single" w:sz="8" w:space="0" w:color="auto"/>
            </w:tcBorders>
            <w:shd w:val="clear" w:color="auto" w:fill="auto"/>
            <w:vAlign w:val="center"/>
            <w:hideMark/>
          </w:tcPr>
          <w:p w:rsidR="00654C19" w:rsidRPr="003169C4" w:rsidRDefault="00D71EB3">
            <w:pPr>
              <w:widowControl/>
              <w:jc w:val="center"/>
              <w:rPr>
                <w:rFonts w:ascii="仿宋_GB2312" w:eastAsia="仿宋_GB2312" w:hAnsi="宋体" w:cs="宋体"/>
                <w:color w:val="000000"/>
                <w:kern w:val="0"/>
                <w:sz w:val="24"/>
                <w:highlight w:val="yellow"/>
              </w:rPr>
            </w:pPr>
            <w:r w:rsidRPr="003169C4">
              <w:rPr>
                <w:rFonts w:ascii="仿宋_GB2312" w:eastAsia="仿宋_GB2312" w:hAnsi="宋体" w:cs="宋体" w:hint="eastAsia"/>
                <w:color w:val="000000"/>
                <w:kern w:val="0"/>
                <w:sz w:val="24"/>
              </w:rPr>
              <w:t>累计做市报价量</w:t>
            </w:r>
          </w:p>
        </w:tc>
        <w:tc>
          <w:tcPr>
            <w:tcW w:w="709" w:type="dxa"/>
            <w:tcBorders>
              <w:top w:val="nil"/>
              <w:left w:val="nil"/>
              <w:bottom w:val="single" w:sz="8" w:space="0" w:color="auto"/>
              <w:right w:val="nil"/>
            </w:tcBorders>
            <w:shd w:val="clear" w:color="auto" w:fill="auto"/>
            <w:noWrap/>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2%</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654C19" w:rsidRPr="003169C4" w:rsidRDefault="00654C19" w:rsidP="00DD7731">
            <w:pPr>
              <w:widowControl/>
              <w:jc w:val="left"/>
              <w:rPr>
                <w:rFonts w:ascii="仿宋_GB2312" w:eastAsia="仿宋_GB2312" w:hAnsi="宋体" w:cs="宋体"/>
                <w:color w:val="000000"/>
                <w:kern w:val="0"/>
                <w:sz w:val="24"/>
              </w:rPr>
            </w:pPr>
          </w:p>
        </w:tc>
      </w:tr>
      <w:tr w:rsidR="00654C19" w:rsidRPr="00945255" w:rsidTr="00DD7731">
        <w:trPr>
          <w:trHeight w:val="380"/>
        </w:trPr>
        <w:tc>
          <w:tcPr>
            <w:tcW w:w="851" w:type="dxa"/>
            <w:vMerge/>
            <w:tcBorders>
              <w:left w:val="single" w:sz="8" w:space="0" w:color="auto"/>
              <w:right w:val="single" w:sz="8" w:space="0" w:color="auto"/>
            </w:tcBorders>
          </w:tcPr>
          <w:p w:rsidR="00654C19" w:rsidRPr="003169C4" w:rsidRDefault="00654C19" w:rsidP="00DD7731">
            <w:pPr>
              <w:widowControl/>
              <w:jc w:val="left"/>
              <w:rPr>
                <w:rFonts w:ascii="仿宋_GB2312" w:eastAsia="仿宋_GB2312" w:hAnsi="宋体" w:cs="宋体"/>
                <w:color w:val="000000"/>
                <w:kern w:val="0"/>
                <w:sz w:val="24"/>
              </w:rPr>
            </w:pPr>
          </w:p>
        </w:tc>
        <w:tc>
          <w:tcPr>
            <w:tcW w:w="1843" w:type="dxa"/>
            <w:vMerge/>
            <w:tcBorders>
              <w:top w:val="nil"/>
              <w:left w:val="single" w:sz="8" w:space="0" w:color="auto"/>
              <w:bottom w:val="nil"/>
              <w:right w:val="single" w:sz="8" w:space="0" w:color="auto"/>
            </w:tcBorders>
            <w:vAlign w:val="center"/>
            <w:hideMark/>
          </w:tcPr>
          <w:p w:rsidR="00654C19" w:rsidRPr="003169C4" w:rsidRDefault="00654C19" w:rsidP="00DD7731">
            <w:pPr>
              <w:widowControl/>
              <w:jc w:val="left"/>
              <w:rPr>
                <w:rFonts w:ascii="仿宋_GB2312" w:eastAsia="仿宋_GB2312" w:hAnsi="宋体" w:cs="宋体"/>
                <w:color w:val="000000"/>
                <w:kern w:val="0"/>
                <w:sz w:val="24"/>
              </w:rPr>
            </w:pPr>
          </w:p>
        </w:tc>
        <w:tc>
          <w:tcPr>
            <w:tcW w:w="4678" w:type="dxa"/>
            <w:tcBorders>
              <w:top w:val="nil"/>
              <w:left w:val="nil"/>
              <w:bottom w:val="single" w:sz="8" w:space="0" w:color="auto"/>
              <w:right w:val="single" w:sz="8" w:space="0" w:color="auto"/>
            </w:tcBorders>
            <w:shd w:val="clear" w:color="auto" w:fill="auto"/>
            <w:vAlign w:val="center"/>
            <w:hideMark/>
          </w:tcPr>
          <w:p w:rsidR="00654C19" w:rsidRPr="003169C4" w:rsidRDefault="00D71EB3">
            <w:pPr>
              <w:widowControl/>
              <w:jc w:val="center"/>
              <w:rPr>
                <w:rFonts w:ascii="仿宋_GB2312" w:eastAsia="仿宋_GB2312" w:hAnsi="宋体" w:cs="宋体"/>
                <w:color w:val="000000"/>
                <w:kern w:val="0"/>
                <w:sz w:val="24"/>
                <w:highlight w:val="yellow"/>
              </w:rPr>
            </w:pPr>
            <w:r w:rsidRPr="003169C4">
              <w:rPr>
                <w:rFonts w:ascii="仿宋_GB2312" w:eastAsia="仿宋_GB2312" w:hAnsi="宋体" w:cs="宋体" w:hint="eastAsia"/>
                <w:color w:val="000000"/>
                <w:kern w:val="0"/>
                <w:sz w:val="24"/>
              </w:rPr>
              <w:t>累计做市报价笔数</w:t>
            </w:r>
          </w:p>
        </w:tc>
        <w:tc>
          <w:tcPr>
            <w:tcW w:w="709" w:type="dxa"/>
            <w:tcBorders>
              <w:top w:val="nil"/>
              <w:left w:val="nil"/>
              <w:bottom w:val="single" w:sz="8" w:space="0" w:color="auto"/>
              <w:right w:val="nil"/>
            </w:tcBorders>
            <w:shd w:val="clear" w:color="auto" w:fill="auto"/>
            <w:noWrap/>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2%</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654C19" w:rsidRPr="003169C4" w:rsidRDefault="00654C19" w:rsidP="00DD7731">
            <w:pPr>
              <w:widowControl/>
              <w:jc w:val="left"/>
              <w:rPr>
                <w:rFonts w:ascii="仿宋_GB2312" w:eastAsia="仿宋_GB2312" w:hAnsi="宋体" w:cs="宋体"/>
                <w:color w:val="000000"/>
                <w:kern w:val="0"/>
                <w:sz w:val="24"/>
              </w:rPr>
            </w:pPr>
          </w:p>
        </w:tc>
      </w:tr>
      <w:tr w:rsidR="00D71EB3" w:rsidRPr="00945255" w:rsidTr="00DD7731">
        <w:trPr>
          <w:trHeight w:val="380"/>
        </w:trPr>
        <w:tc>
          <w:tcPr>
            <w:tcW w:w="851" w:type="dxa"/>
            <w:vMerge/>
            <w:tcBorders>
              <w:left w:val="single" w:sz="8" w:space="0" w:color="auto"/>
              <w:bottom w:val="nil"/>
              <w:right w:val="single" w:sz="8" w:space="0" w:color="auto"/>
            </w:tcBorders>
          </w:tcPr>
          <w:p w:rsidR="00D71EB3" w:rsidRPr="003169C4" w:rsidRDefault="00D71EB3" w:rsidP="00DD7731">
            <w:pPr>
              <w:widowControl/>
              <w:jc w:val="left"/>
              <w:rPr>
                <w:rFonts w:ascii="仿宋_GB2312" w:eastAsia="仿宋_GB2312" w:hAnsi="宋体" w:cs="宋体"/>
                <w:color w:val="000000"/>
                <w:kern w:val="0"/>
                <w:sz w:val="24"/>
              </w:rPr>
            </w:pPr>
          </w:p>
        </w:tc>
        <w:tc>
          <w:tcPr>
            <w:tcW w:w="1843" w:type="dxa"/>
            <w:vMerge/>
            <w:tcBorders>
              <w:top w:val="nil"/>
              <w:left w:val="single" w:sz="8" w:space="0" w:color="auto"/>
              <w:bottom w:val="nil"/>
              <w:right w:val="single" w:sz="8" w:space="0" w:color="auto"/>
            </w:tcBorders>
            <w:vAlign w:val="center"/>
          </w:tcPr>
          <w:p w:rsidR="00D71EB3" w:rsidRPr="003169C4" w:rsidRDefault="00D71EB3" w:rsidP="00DD7731">
            <w:pPr>
              <w:widowControl/>
              <w:jc w:val="left"/>
              <w:rPr>
                <w:rFonts w:ascii="仿宋_GB2312" w:eastAsia="仿宋_GB2312" w:hAnsi="宋体" w:cs="宋体"/>
                <w:color w:val="000000"/>
                <w:kern w:val="0"/>
                <w:sz w:val="24"/>
              </w:rPr>
            </w:pPr>
          </w:p>
        </w:tc>
        <w:tc>
          <w:tcPr>
            <w:tcW w:w="4678" w:type="dxa"/>
            <w:tcBorders>
              <w:top w:val="nil"/>
              <w:left w:val="nil"/>
              <w:bottom w:val="single" w:sz="8" w:space="0" w:color="auto"/>
              <w:right w:val="single" w:sz="8" w:space="0" w:color="auto"/>
            </w:tcBorders>
            <w:shd w:val="clear" w:color="auto" w:fill="auto"/>
            <w:vAlign w:val="center"/>
          </w:tcPr>
          <w:p w:rsidR="00D71EB3" w:rsidRPr="003169C4" w:rsidRDefault="00D71EB3">
            <w:pPr>
              <w:widowControl/>
              <w:jc w:val="center"/>
              <w:rPr>
                <w:rFonts w:ascii="仿宋_GB2312" w:eastAsia="仿宋_GB2312" w:hAnsi="宋体" w:cs="宋体"/>
                <w:kern w:val="0"/>
                <w:sz w:val="24"/>
              </w:rPr>
            </w:pPr>
            <w:r w:rsidRPr="003169C4">
              <w:rPr>
                <w:rFonts w:ascii="仿宋_GB2312" w:eastAsia="仿宋_GB2312" w:hAnsi="宋体" w:cs="宋体" w:hint="eastAsia"/>
                <w:kern w:val="0"/>
                <w:sz w:val="24"/>
              </w:rPr>
              <w:t>累计做市成交量</w:t>
            </w:r>
          </w:p>
        </w:tc>
        <w:tc>
          <w:tcPr>
            <w:tcW w:w="709" w:type="dxa"/>
            <w:tcBorders>
              <w:top w:val="nil"/>
              <w:left w:val="nil"/>
              <w:bottom w:val="single" w:sz="8" w:space="0" w:color="auto"/>
              <w:right w:val="nil"/>
            </w:tcBorders>
            <w:shd w:val="clear" w:color="auto" w:fill="auto"/>
            <w:noWrap/>
            <w:vAlign w:val="center"/>
          </w:tcPr>
          <w:p w:rsidR="00D71EB3" w:rsidRPr="003169C4" w:rsidRDefault="00945255" w:rsidP="00DD773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w:t>
            </w:r>
            <w:r w:rsidR="00D71EB3" w:rsidRPr="003169C4">
              <w:rPr>
                <w:rFonts w:ascii="仿宋_GB2312" w:eastAsia="仿宋_GB2312" w:hAnsi="宋体" w:cs="宋体"/>
                <w:color w:val="000000"/>
                <w:kern w:val="0"/>
                <w:sz w:val="24"/>
              </w:rPr>
              <w:t>%</w:t>
            </w:r>
          </w:p>
        </w:tc>
        <w:tc>
          <w:tcPr>
            <w:tcW w:w="850" w:type="dxa"/>
            <w:vMerge/>
            <w:tcBorders>
              <w:top w:val="single" w:sz="8" w:space="0" w:color="auto"/>
              <w:left w:val="single" w:sz="8" w:space="0" w:color="auto"/>
              <w:bottom w:val="single" w:sz="8" w:space="0" w:color="000000"/>
              <w:right w:val="single" w:sz="8" w:space="0" w:color="auto"/>
            </w:tcBorders>
            <w:vAlign w:val="center"/>
          </w:tcPr>
          <w:p w:rsidR="00D71EB3" w:rsidRPr="003169C4" w:rsidRDefault="00D71EB3" w:rsidP="00DD7731">
            <w:pPr>
              <w:widowControl/>
              <w:jc w:val="left"/>
              <w:rPr>
                <w:rFonts w:ascii="仿宋_GB2312" w:eastAsia="仿宋_GB2312" w:hAnsi="宋体" w:cs="宋体"/>
                <w:color w:val="000000"/>
                <w:kern w:val="0"/>
                <w:sz w:val="24"/>
              </w:rPr>
            </w:pPr>
          </w:p>
        </w:tc>
      </w:tr>
      <w:tr w:rsidR="00D71EB3" w:rsidRPr="00945255" w:rsidTr="00DD7731">
        <w:trPr>
          <w:trHeight w:val="380"/>
        </w:trPr>
        <w:tc>
          <w:tcPr>
            <w:tcW w:w="851" w:type="dxa"/>
            <w:vMerge/>
            <w:tcBorders>
              <w:left w:val="single" w:sz="8" w:space="0" w:color="auto"/>
              <w:bottom w:val="nil"/>
              <w:right w:val="single" w:sz="8" w:space="0" w:color="auto"/>
            </w:tcBorders>
          </w:tcPr>
          <w:p w:rsidR="00D71EB3" w:rsidRPr="003169C4" w:rsidRDefault="00D71EB3" w:rsidP="00DD7731">
            <w:pPr>
              <w:widowControl/>
              <w:jc w:val="left"/>
              <w:rPr>
                <w:rFonts w:ascii="仿宋_GB2312" w:eastAsia="仿宋_GB2312" w:hAnsi="宋体" w:cs="宋体"/>
                <w:color w:val="000000"/>
                <w:kern w:val="0"/>
                <w:sz w:val="24"/>
              </w:rPr>
            </w:pPr>
          </w:p>
        </w:tc>
        <w:tc>
          <w:tcPr>
            <w:tcW w:w="1843" w:type="dxa"/>
            <w:vMerge/>
            <w:tcBorders>
              <w:top w:val="nil"/>
              <w:left w:val="single" w:sz="8" w:space="0" w:color="auto"/>
              <w:bottom w:val="nil"/>
              <w:right w:val="single" w:sz="8" w:space="0" w:color="auto"/>
            </w:tcBorders>
            <w:vAlign w:val="center"/>
          </w:tcPr>
          <w:p w:rsidR="00D71EB3" w:rsidRPr="003169C4" w:rsidRDefault="00D71EB3" w:rsidP="00DD7731">
            <w:pPr>
              <w:widowControl/>
              <w:jc w:val="left"/>
              <w:rPr>
                <w:rFonts w:ascii="仿宋_GB2312" w:eastAsia="仿宋_GB2312" w:hAnsi="宋体" w:cs="宋体"/>
                <w:color w:val="000000"/>
                <w:kern w:val="0"/>
                <w:sz w:val="24"/>
              </w:rPr>
            </w:pPr>
          </w:p>
        </w:tc>
        <w:tc>
          <w:tcPr>
            <w:tcW w:w="4678" w:type="dxa"/>
            <w:tcBorders>
              <w:top w:val="nil"/>
              <w:left w:val="nil"/>
              <w:bottom w:val="single" w:sz="8" w:space="0" w:color="auto"/>
              <w:right w:val="single" w:sz="8" w:space="0" w:color="auto"/>
            </w:tcBorders>
            <w:shd w:val="clear" w:color="auto" w:fill="auto"/>
            <w:vAlign w:val="center"/>
          </w:tcPr>
          <w:p w:rsidR="00D71EB3" w:rsidRPr="003169C4" w:rsidRDefault="00D71EB3">
            <w:pPr>
              <w:widowControl/>
              <w:jc w:val="center"/>
              <w:rPr>
                <w:rFonts w:ascii="仿宋_GB2312" w:eastAsia="仿宋_GB2312" w:hAnsi="宋体" w:cs="宋体"/>
                <w:kern w:val="0"/>
                <w:sz w:val="24"/>
              </w:rPr>
            </w:pPr>
            <w:r w:rsidRPr="003169C4">
              <w:rPr>
                <w:rFonts w:ascii="仿宋_GB2312" w:eastAsia="仿宋_GB2312" w:hAnsi="宋体" w:cs="宋体" w:hint="eastAsia"/>
                <w:kern w:val="0"/>
                <w:sz w:val="24"/>
              </w:rPr>
              <w:t>累计做市成交笔数</w:t>
            </w:r>
          </w:p>
        </w:tc>
        <w:tc>
          <w:tcPr>
            <w:tcW w:w="709" w:type="dxa"/>
            <w:tcBorders>
              <w:top w:val="nil"/>
              <w:left w:val="nil"/>
              <w:bottom w:val="single" w:sz="8" w:space="0" w:color="auto"/>
              <w:right w:val="nil"/>
            </w:tcBorders>
            <w:shd w:val="clear" w:color="auto" w:fill="auto"/>
            <w:noWrap/>
            <w:vAlign w:val="center"/>
          </w:tcPr>
          <w:p w:rsidR="00D71EB3" w:rsidRPr="003169C4" w:rsidRDefault="00D71EB3"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2%</w:t>
            </w:r>
          </w:p>
        </w:tc>
        <w:tc>
          <w:tcPr>
            <w:tcW w:w="850" w:type="dxa"/>
            <w:vMerge/>
            <w:tcBorders>
              <w:top w:val="single" w:sz="8" w:space="0" w:color="auto"/>
              <w:left w:val="single" w:sz="8" w:space="0" w:color="auto"/>
              <w:bottom w:val="single" w:sz="8" w:space="0" w:color="000000"/>
              <w:right w:val="single" w:sz="8" w:space="0" w:color="auto"/>
            </w:tcBorders>
            <w:vAlign w:val="center"/>
          </w:tcPr>
          <w:p w:rsidR="00D71EB3" w:rsidRPr="003169C4" w:rsidRDefault="00D71EB3" w:rsidP="00DD7731">
            <w:pPr>
              <w:widowControl/>
              <w:jc w:val="left"/>
              <w:rPr>
                <w:rFonts w:ascii="仿宋_GB2312" w:eastAsia="仿宋_GB2312" w:hAnsi="宋体" w:cs="宋体"/>
                <w:color w:val="000000"/>
                <w:kern w:val="0"/>
                <w:sz w:val="24"/>
              </w:rPr>
            </w:pPr>
          </w:p>
        </w:tc>
      </w:tr>
      <w:tr w:rsidR="00654C19" w:rsidRPr="00945255" w:rsidTr="00D71EB3">
        <w:trPr>
          <w:trHeight w:val="380"/>
        </w:trPr>
        <w:tc>
          <w:tcPr>
            <w:tcW w:w="851" w:type="dxa"/>
            <w:vMerge/>
            <w:tcBorders>
              <w:top w:val="single" w:sz="4" w:space="0" w:color="auto"/>
              <w:left w:val="single" w:sz="8" w:space="0" w:color="auto"/>
              <w:bottom w:val="single" w:sz="4" w:space="0" w:color="auto"/>
              <w:right w:val="single" w:sz="8" w:space="0" w:color="auto"/>
            </w:tcBorders>
          </w:tcPr>
          <w:p w:rsidR="00654C19" w:rsidRPr="003169C4" w:rsidRDefault="00654C19" w:rsidP="00DD7731">
            <w:pPr>
              <w:widowControl/>
              <w:jc w:val="left"/>
              <w:rPr>
                <w:rFonts w:ascii="仿宋_GB2312" w:eastAsia="仿宋_GB2312" w:hAnsi="宋体" w:cs="宋体"/>
                <w:color w:val="000000"/>
                <w:kern w:val="0"/>
                <w:sz w:val="24"/>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rsidR="00654C19" w:rsidRPr="003169C4" w:rsidRDefault="00654C19" w:rsidP="00DD7731">
            <w:pPr>
              <w:widowControl/>
              <w:jc w:val="left"/>
              <w:rPr>
                <w:rFonts w:ascii="仿宋_GB2312" w:eastAsia="仿宋_GB2312" w:hAnsi="宋体" w:cs="宋体"/>
                <w:color w:val="000000"/>
                <w:kern w:val="0"/>
                <w:sz w:val="24"/>
              </w:rPr>
            </w:pPr>
          </w:p>
        </w:tc>
        <w:tc>
          <w:tcPr>
            <w:tcW w:w="4678" w:type="dxa"/>
            <w:tcBorders>
              <w:top w:val="single" w:sz="4" w:space="0" w:color="auto"/>
              <w:left w:val="nil"/>
              <w:bottom w:val="single" w:sz="4" w:space="0" w:color="auto"/>
              <w:right w:val="single" w:sz="8" w:space="0" w:color="auto"/>
            </w:tcBorders>
            <w:shd w:val="clear" w:color="auto" w:fill="auto"/>
            <w:vAlign w:val="center"/>
            <w:hideMark/>
          </w:tcPr>
          <w:p w:rsidR="00654C19" w:rsidRPr="003169C4" w:rsidRDefault="00D71EB3">
            <w:pPr>
              <w:widowControl/>
              <w:jc w:val="center"/>
              <w:rPr>
                <w:rFonts w:ascii="仿宋_GB2312" w:eastAsia="仿宋_GB2312" w:hAnsi="宋体" w:cs="宋体"/>
                <w:color w:val="0000FF"/>
                <w:kern w:val="0"/>
                <w:sz w:val="24"/>
                <w:highlight w:val="yellow"/>
              </w:rPr>
            </w:pPr>
            <w:r w:rsidRPr="003169C4">
              <w:rPr>
                <w:rFonts w:ascii="仿宋_GB2312" w:eastAsia="仿宋_GB2312" w:hAnsi="宋体" w:cs="宋体" w:hint="eastAsia"/>
                <w:kern w:val="0"/>
                <w:sz w:val="24"/>
              </w:rPr>
              <w:t>累计请求回复成交量</w:t>
            </w:r>
          </w:p>
        </w:tc>
        <w:tc>
          <w:tcPr>
            <w:tcW w:w="709" w:type="dxa"/>
            <w:tcBorders>
              <w:top w:val="single" w:sz="4" w:space="0" w:color="auto"/>
              <w:left w:val="nil"/>
              <w:bottom w:val="single" w:sz="4" w:space="0" w:color="auto"/>
              <w:right w:val="nil"/>
            </w:tcBorders>
            <w:shd w:val="clear" w:color="auto" w:fill="auto"/>
            <w:noWrap/>
            <w:vAlign w:val="center"/>
            <w:hideMark/>
          </w:tcPr>
          <w:p w:rsidR="00654C19" w:rsidRPr="003169C4" w:rsidRDefault="00D71EB3"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4</w:t>
            </w:r>
            <w:r w:rsidR="00654C19" w:rsidRPr="003169C4">
              <w:rPr>
                <w:rFonts w:ascii="仿宋_GB2312" w:eastAsia="仿宋_GB2312" w:hAnsi="宋体" w:cs="宋体"/>
                <w:color w:val="000000"/>
                <w:kern w:val="0"/>
                <w:sz w:val="24"/>
              </w:rPr>
              <w:t>%</w:t>
            </w:r>
          </w:p>
        </w:tc>
        <w:tc>
          <w:tcPr>
            <w:tcW w:w="850" w:type="dxa"/>
            <w:vMerge/>
            <w:tcBorders>
              <w:top w:val="single" w:sz="4" w:space="0" w:color="auto"/>
              <w:left w:val="single" w:sz="8" w:space="0" w:color="auto"/>
              <w:bottom w:val="single" w:sz="4" w:space="0" w:color="auto"/>
              <w:right w:val="single" w:sz="8" w:space="0" w:color="auto"/>
            </w:tcBorders>
            <w:vAlign w:val="center"/>
            <w:hideMark/>
          </w:tcPr>
          <w:p w:rsidR="00654C19" w:rsidRPr="003169C4" w:rsidRDefault="00654C19" w:rsidP="00DD7731">
            <w:pPr>
              <w:widowControl/>
              <w:jc w:val="left"/>
              <w:rPr>
                <w:rFonts w:ascii="仿宋_GB2312" w:eastAsia="仿宋_GB2312" w:hAnsi="宋体" w:cs="宋体"/>
                <w:color w:val="000000"/>
                <w:kern w:val="0"/>
                <w:sz w:val="24"/>
              </w:rPr>
            </w:pPr>
          </w:p>
        </w:tc>
      </w:tr>
      <w:tr w:rsidR="00654C19" w:rsidRPr="00945255" w:rsidTr="00D71EB3">
        <w:trPr>
          <w:trHeight w:val="380"/>
        </w:trPr>
        <w:tc>
          <w:tcPr>
            <w:tcW w:w="851" w:type="dxa"/>
            <w:tcBorders>
              <w:top w:val="single" w:sz="4" w:space="0" w:color="auto"/>
              <w:left w:val="single" w:sz="8" w:space="0" w:color="auto"/>
              <w:bottom w:val="nil"/>
              <w:right w:val="single" w:sz="8" w:space="0" w:color="auto"/>
            </w:tcBorders>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lastRenderedPageBreak/>
              <w:t>三</w:t>
            </w:r>
          </w:p>
        </w:tc>
        <w:tc>
          <w:tcPr>
            <w:tcW w:w="1843" w:type="dxa"/>
            <w:tcBorders>
              <w:top w:val="single" w:sz="4" w:space="0" w:color="auto"/>
              <w:left w:val="single" w:sz="8" w:space="0" w:color="auto"/>
              <w:bottom w:val="nil"/>
              <w:right w:val="single" w:sz="8" w:space="0" w:color="auto"/>
            </w:tcBorders>
            <w:shd w:val="clear" w:color="auto" w:fill="auto"/>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国债持有情况</w:t>
            </w:r>
          </w:p>
        </w:tc>
        <w:tc>
          <w:tcPr>
            <w:tcW w:w="4678" w:type="dxa"/>
            <w:tcBorders>
              <w:top w:val="single" w:sz="4" w:space="0" w:color="auto"/>
              <w:left w:val="nil"/>
              <w:bottom w:val="single" w:sz="8" w:space="0" w:color="auto"/>
              <w:right w:val="single" w:sz="8" w:space="0" w:color="auto"/>
            </w:tcBorders>
            <w:shd w:val="clear" w:color="auto" w:fill="auto"/>
            <w:vAlign w:val="center"/>
            <w:hideMark/>
          </w:tcPr>
          <w:p w:rsidR="00654C19" w:rsidRPr="003169C4" w:rsidRDefault="00654C19" w:rsidP="00DD7731">
            <w:pPr>
              <w:widowControl/>
              <w:jc w:val="center"/>
              <w:rPr>
                <w:rFonts w:ascii="仿宋_GB2312" w:eastAsia="仿宋_GB2312" w:hAnsi="宋体" w:cs="宋体"/>
                <w:color w:val="0000FF"/>
                <w:kern w:val="0"/>
                <w:sz w:val="24"/>
              </w:rPr>
            </w:pPr>
            <w:r w:rsidRPr="003169C4">
              <w:rPr>
                <w:rFonts w:ascii="仿宋_GB2312" w:eastAsia="仿宋_GB2312" w:hAnsi="宋体" w:cs="宋体" w:hint="eastAsia"/>
                <w:kern w:val="0"/>
                <w:sz w:val="24"/>
              </w:rPr>
              <w:t>日均持有量</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15%</w:t>
            </w:r>
          </w:p>
        </w:tc>
        <w:tc>
          <w:tcPr>
            <w:tcW w:w="850" w:type="dxa"/>
            <w:tcBorders>
              <w:top w:val="single" w:sz="4" w:space="0" w:color="auto"/>
              <w:left w:val="nil"/>
              <w:bottom w:val="nil"/>
              <w:right w:val="single" w:sz="8" w:space="0" w:color="auto"/>
            </w:tcBorders>
            <w:shd w:val="clear" w:color="auto" w:fill="auto"/>
            <w:noWrap/>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15%</w:t>
            </w:r>
          </w:p>
        </w:tc>
      </w:tr>
      <w:tr w:rsidR="00654C19" w:rsidRPr="00945255" w:rsidTr="00DD7731">
        <w:trPr>
          <w:trHeight w:val="380"/>
        </w:trPr>
        <w:tc>
          <w:tcPr>
            <w:tcW w:w="851" w:type="dxa"/>
            <w:vMerge w:val="restart"/>
            <w:tcBorders>
              <w:top w:val="single" w:sz="8" w:space="0" w:color="auto"/>
              <w:left w:val="single" w:sz="8" w:space="0" w:color="auto"/>
              <w:right w:val="single" w:sz="8" w:space="0" w:color="auto"/>
            </w:tcBorders>
            <w:vAlign w:val="center"/>
          </w:tcPr>
          <w:p w:rsidR="00654C19" w:rsidRPr="003169C4" w:rsidRDefault="00654C19" w:rsidP="00DD7731">
            <w:pPr>
              <w:widowControl/>
              <w:jc w:val="center"/>
              <w:rPr>
                <w:rFonts w:ascii="仿宋_GB2312" w:eastAsia="仿宋_GB2312" w:hAnsi="宋体" w:cs="宋体"/>
                <w:kern w:val="0"/>
                <w:sz w:val="24"/>
              </w:rPr>
            </w:pPr>
            <w:r w:rsidRPr="003169C4">
              <w:rPr>
                <w:rFonts w:ascii="仿宋_GB2312" w:eastAsia="仿宋_GB2312" w:hAnsi="宋体" w:cs="宋体" w:hint="eastAsia"/>
                <w:kern w:val="0"/>
                <w:sz w:val="24"/>
              </w:rPr>
              <w:t>四</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54C19" w:rsidRPr="003169C4" w:rsidRDefault="00654C19">
            <w:pPr>
              <w:widowControl/>
              <w:jc w:val="center"/>
              <w:rPr>
                <w:rFonts w:ascii="仿宋_GB2312" w:eastAsia="仿宋_GB2312" w:hAnsi="宋体" w:cs="宋体"/>
                <w:color w:val="0000FF"/>
                <w:kern w:val="0"/>
                <w:sz w:val="24"/>
              </w:rPr>
            </w:pPr>
            <w:r w:rsidRPr="003169C4">
              <w:rPr>
                <w:rFonts w:ascii="仿宋_GB2312" w:eastAsia="仿宋_GB2312" w:hAnsi="宋体" w:cs="宋体" w:hint="eastAsia"/>
                <w:kern w:val="0"/>
                <w:sz w:val="24"/>
              </w:rPr>
              <w:t>其他债券承销交易情况（地方政府债券、政策性金融债）</w:t>
            </w:r>
          </w:p>
        </w:tc>
        <w:tc>
          <w:tcPr>
            <w:tcW w:w="4678" w:type="dxa"/>
            <w:tcBorders>
              <w:top w:val="nil"/>
              <w:left w:val="nil"/>
              <w:bottom w:val="single" w:sz="8" w:space="0" w:color="auto"/>
              <w:right w:val="single" w:sz="8" w:space="0" w:color="auto"/>
            </w:tcBorders>
            <w:shd w:val="clear" w:color="auto" w:fill="auto"/>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承销量</w:t>
            </w:r>
          </w:p>
        </w:tc>
        <w:tc>
          <w:tcPr>
            <w:tcW w:w="709" w:type="dxa"/>
            <w:tcBorders>
              <w:top w:val="nil"/>
              <w:left w:val="nil"/>
              <w:bottom w:val="single" w:sz="8" w:space="0" w:color="auto"/>
              <w:right w:val="single" w:sz="8" w:space="0" w:color="auto"/>
            </w:tcBorders>
            <w:shd w:val="clear" w:color="auto" w:fill="auto"/>
            <w:noWrap/>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4%</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10%</w:t>
            </w:r>
          </w:p>
        </w:tc>
      </w:tr>
      <w:tr w:rsidR="00654C19" w:rsidRPr="00945255" w:rsidTr="00DD7731">
        <w:trPr>
          <w:trHeight w:val="380"/>
        </w:trPr>
        <w:tc>
          <w:tcPr>
            <w:tcW w:w="851" w:type="dxa"/>
            <w:vMerge/>
            <w:tcBorders>
              <w:left w:val="single" w:sz="8" w:space="0" w:color="auto"/>
              <w:right w:val="single" w:sz="8" w:space="0" w:color="auto"/>
            </w:tcBorders>
          </w:tcPr>
          <w:p w:rsidR="00654C19" w:rsidRPr="003169C4" w:rsidRDefault="00654C19" w:rsidP="00DD7731">
            <w:pPr>
              <w:widowControl/>
              <w:jc w:val="left"/>
              <w:rPr>
                <w:rFonts w:ascii="仿宋_GB2312" w:eastAsia="仿宋_GB2312" w:hAnsi="宋体" w:cs="宋体"/>
                <w:color w:val="0000FF"/>
                <w:kern w:val="0"/>
                <w:sz w:val="24"/>
                <w:u w:val="single"/>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654C19" w:rsidRPr="003169C4" w:rsidRDefault="00654C19" w:rsidP="00DD7731">
            <w:pPr>
              <w:widowControl/>
              <w:jc w:val="left"/>
              <w:rPr>
                <w:rFonts w:ascii="仿宋_GB2312" w:eastAsia="仿宋_GB2312" w:hAnsi="宋体" w:cs="宋体"/>
                <w:color w:val="0000FF"/>
                <w:kern w:val="0"/>
                <w:sz w:val="24"/>
                <w:u w:val="single"/>
              </w:rPr>
            </w:pPr>
          </w:p>
        </w:tc>
        <w:tc>
          <w:tcPr>
            <w:tcW w:w="4678" w:type="dxa"/>
            <w:tcBorders>
              <w:top w:val="nil"/>
              <w:left w:val="nil"/>
              <w:bottom w:val="single" w:sz="8" w:space="0" w:color="auto"/>
              <w:right w:val="single" w:sz="8" w:space="0" w:color="auto"/>
            </w:tcBorders>
            <w:shd w:val="clear" w:color="auto" w:fill="auto"/>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日均持有量</w:t>
            </w:r>
          </w:p>
        </w:tc>
        <w:tc>
          <w:tcPr>
            <w:tcW w:w="709" w:type="dxa"/>
            <w:tcBorders>
              <w:top w:val="nil"/>
              <w:left w:val="nil"/>
              <w:bottom w:val="single" w:sz="8" w:space="0" w:color="auto"/>
              <w:right w:val="single" w:sz="8" w:space="0" w:color="auto"/>
            </w:tcBorders>
            <w:shd w:val="clear" w:color="auto" w:fill="auto"/>
            <w:noWrap/>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3%</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654C19" w:rsidRPr="003169C4" w:rsidRDefault="00654C19" w:rsidP="00DD7731">
            <w:pPr>
              <w:widowControl/>
              <w:jc w:val="left"/>
              <w:rPr>
                <w:rFonts w:ascii="仿宋_GB2312" w:eastAsia="仿宋_GB2312" w:hAnsi="宋体" w:cs="宋体"/>
                <w:color w:val="000000"/>
                <w:kern w:val="0"/>
                <w:sz w:val="24"/>
              </w:rPr>
            </w:pPr>
          </w:p>
        </w:tc>
      </w:tr>
      <w:tr w:rsidR="00654C19" w:rsidRPr="00945255" w:rsidTr="00DD7731">
        <w:trPr>
          <w:trHeight w:val="380"/>
        </w:trPr>
        <w:tc>
          <w:tcPr>
            <w:tcW w:w="851" w:type="dxa"/>
            <w:vMerge/>
            <w:tcBorders>
              <w:left w:val="single" w:sz="8" w:space="0" w:color="auto"/>
              <w:bottom w:val="single" w:sz="8" w:space="0" w:color="auto"/>
              <w:right w:val="single" w:sz="8" w:space="0" w:color="auto"/>
            </w:tcBorders>
          </w:tcPr>
          <w:p w:rsidR="00654C19" w:rsidRPr="003169C4" w:rsidRDefault="00654C19" w:rsidP="00DD7731">
            <w:pPr>
              <w:widowControl/>
              <w:jc w:val="left"/>
              <w:rPr>
                <w:rFonts w:ascii="仿宋_GB2312" w:eastAsia="仿宋_GB2312" w:hAnsi="宋体" w:cs="宋体"/>
                <w:color w:val="0000FF"/>
                <w:kern w:val="0"/>
                <w:sz w:val="24"/>
                <w:u w:val="single"/>
              </w:rPr>
            </w:pPr>
          </w:p>
        </w:tc>
        <w:tc>
          <w:tcPr>
            <w:tcW w:w="1843"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54C19" w:rsidRPr="003169C4" w:rsidRDefault="00654C19" w:rsidP="00DD7731">
            <w:pPr>
              <w:widowControl/>
              <w:jc w:val="left"/>
              <w:rPr>
                <w:rFonts w:ascii="仿宋_GB2312" w:eastAsia="仿宋_GB2312" w:hAnsi="宋体" w:cs="宋体"/>
                <w:color w:val="0000FF"/>
                <w:kern w:val="0"/>
                <w:sz w:val="24"/>
                <w:u w:val="single"/>
              </w:rPr>
            </w:pPr>
          </w:p>
        </w:tc>
        <w:tc>
          <w:tcPr>
            <w:tcW w:w="4678" w:type="dxa"/>
            <w:tcBorders>
              <w:top w:val="nil"/>
              <w:left w:val="nil"/>
              <w:bottom w:val="single" w:sz="8" w:space="0" w:color="auto"/>
              <w:right w:val="single" w:sz="8" w:space="0" w:color="auto"/>
            </w:tcBorders>
            <w:shd w:val="clear" w:color="auto" w:fill="auto"/>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现券交易量</w:t>
            </w:r>
          </w:p>
        </w:tc>
        <w:tc>
          <w:tcPr>
            <w:tcW w:w="709" w:type="dxa"/>
            <w:tcBorders>
              <w:top w:val="nil"/>
              <w:left w:val="nil"/>
              <w:bottom w:val="single" w:sz="8" w:space="0" w:color="auto"/>
              <w:right w:val="single" w:sz="8" w:space="0" w:color="auto"/>
            </w:tcBorders>
            <w:noWrap/>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3%</w:t>
            </w: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654C19" w:rsidRPr="003169C4" w:rsidRDefault="00654C19" w:rsidP="00DD7731">
            <w:pPr>
              <w:widowControl/>
              <w:jc w:val="left"/>
              <w:rPr>
                <w:rFonts w:ascii="仿宋_GB2312" w:eastAsia="仿宋_GB2312" w:hAnsi="宋体" w:cs="宋体"/>
                <w:color w:val="000000"/>
                <w:kern w:val="0"/>
                <w:sz w:val="24"/>
              </w:rPr>
            </w:pPr>
          </w:p>
        </w:tc>
      </w:tr>
      <w:tr w:rsidR="00654C19" w:rsidRPr="00945255" w:rsidTr="00DD7731">
        <w:trPr>
          <w:trHeight w:val="801"/>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五</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资本经营及风险防控状况</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654C19" w:rsidRPr="003169C4" w:rsidRDefault="00654C19">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总资产、注册资本、净资产、利润总额、总资产报酬率、净资产收益率、受委托的资产规模等</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10%</w:t>
            </w:r>
          </w:p>
        </w:tc>
        <w:tc>
          <w:tcPr>
            <w:tcW w:w="850" w:type="dxa"/>
            <w:tcBorders>
              <w:top w:val="single" w:sz="8" w:space="0" w:color="auto"/>
              <w:left w:val="nil"/>
              <w:bottom w:val="single" w:sz="8" w:space="0" w:color="auto"/>
              <w:right w:val="single" w:sz="8" w:space="0" w:color="auto"/>
            </w:tcBorders>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10%</w:t>
            </w:r>
          </w:p>
        </w:tc>
      </w:tr>
      <w:tr w:rsidR="00654C19" w:rsidRPr="00945255" w:rsidTr="00DD7731">
        <w:trPr>
          <w:trHeight w:val="2352"/>
        </w:trPr>
        <w:tc>
          <w:tcPr>
            <w:tcW w:w="851" w:type="dxa"/>
            <w:tcBorders>
              <w:top w:val="nil"/>
              <w:left w:val="single" w:sz="8" w:space="0" w:color="auto"/>
              <w:bottom w:val="single" w:sz="8" w:space="0" w:color="auto"/>
              <w:right w:val="single" w:sz="8" w:space="0" w:color="auto"/>
            </w:tcBorders>
            <w:vAlign w:val="center"/>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六</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其他因素</w:t>
            </w:r>
          </w:p>
        </w:tc>
        <w:tc>
          <w:tcPr>
            <w:tcW w:w="4678" w:type="dxa"/>
            <w:tcBorders>
              <w:top w:val="nil"/>
              <w:left w:val="nil"/>
              <w:bottom w:val="single" w:sz="8" w:space="0" w:color="auto"/>
              <w:right w:val="single" w:sz="8" w:space="0" w:color="auto"/>
            </w:tcBorders>
            <w:shd w:val="clear" w:color="auto" w:fill="auto"/>
            <w:vAlign w:val="center"/>
            <w:hideMark/>
          </w:tcPr>
          <w:p w:rsidR="00654C19" w:rsidRPr="003169C4" w:rsidRDefault="00654C19">
            <w:pPr>
              <w:widowControl/>
              <w:jc w:val="center"/>
              <w:rPr>
                <w:rFonts w:ascii="仿宋_GB2312" w:eastAsia="仿宋_GB2312" w:hAnsi="宋体" w:cs="宋体"/>
                <w:color w:val="000000"/>
                <w:kern w:val="0"/>
                <w:sz w:val="24"/>
              </w:rPr>
            </w:pPr>
            <w:r w:rsidRPr="003169C4">
              <w:rPr>
                <w:rFonts w:ascii="仿宋_GB2312" w:eastAsia="仿宋_GB2312" w:hAnsi="宋体" w:cs="宋体" w:hint="eastAsia"/>
                <w:color w:val="000000"/>
                <w:kern w:val="0"/>
                <w:sz w:val="24"/>
              </w:rPr>
              <w:t>研究能力、创新能力、获奖情况、信息系统建设、债券市场参与程度及国债承销和交易违规情况、国债管理改革参与情况（如国债预发行、国债期货、国债随买随卖等）、对财政部会同有关部门开展的记账式国债管理相关工作支持情况（如记账式国债管理创新课题研究、国债会议主题发言），</w:t>
            </w:r>
            <w:r w:rsidR="005E6533" w:rsidRPr="003169C4">
              <w:rPr>
                <w:rFonts w:ascii="仿宋_GB2312" w:eastAsia="仿宋_GB2312" w:hAnsi="宋体" w:cs="宋体" w:hint="eastAsia"/>
                <w:color w:val="000000"/>
                <w:kern w:val="0"/>
                <w:sz w:val="24"/>
              </w:rPr>
              <w:t>参与</w:t>
            </w:r>
            <w:r w:rsidR="001E4BE9" w:rsidRPr="003169C4">
              <w:rPr>
                <w:rFonts w:ascii="仿宋_GB2312" w:eastAsia="仿宋_GB2312" w:hAnsi="宋体" w:cs="宋体" w:hint="eastAsia"/>
                <w:color w:val="000000"/>
                <w:kern w:val="0"/>
                <w:sz w:val="24"/>
              </w:rPr>
              <w:t>其他国库</w:t>
            </w:r>
            <w:r w:rsidR="005E6533" w:rsidRPr="003169C4">
              <w:rPr>
                <w:rFonts w:ascii="仿宋_GB2312" w:eastAsia="仿宋_GB2312" w:hAnsi="宋体" w:cs="宋体" w:hint="eastAsia"/>
                <w:color w:val="000000"/>
                <w:kern w:val="0"/>
                <w:sz w:val="24"/>
              </w:rPr>
              <w:t>管理</w:t>
            </w:r>
            <w:r w:rsidR="001E4BE9" w:rsidRPr="003169C4">
              <w:rPr>
                <w:rFonts w:ascii="仿宋_GB2312" w:eastAsia="仿宋_GB2312" w:hAnsi="宋体" w:cs="宋体" w:hint="eastAsia"/>
                <w:color w:val="000000"/>
                <w:kern w:val="0"/>
                <w:sz w:val="24"/>
              </w:rPr>
              <w:t>业务</w:t>
            </w:r>
            <w:r w:rsidR="005E6533" w:rsidRPr="003169C4">
              <w:rPr>
                <w:rFonts w:ascii="仿宋_GB2312" w:eastAsia="仿宋_GB2312" w:hAnsi="宋体" w:cs="宋体" w:hint="eastAsia"/>
                <w:color w:val="000000"/>
                <w:kern w:val="0"/>
                <w:sz w:val="24"/>
              </w:rPr>
              <w:t>情况，</w:t>
            </w:r>
            <w:r w:rsidRPr="003169C4">
              <w:rPr>
                <w:rFonts w:ascii="仿宋_GB2312" w:eastAsia="仿宋_GB2312" w:hAnsi="宋体" w:cs="宋体" w:hint="eastAsia"/>
                <w:color w:val="000000"/>
                <w:kern w:val="0"/>
                <w:sz w:val="24"/>
              </w:rPr>
              <w:t>数据报送准确情况等</w:t>
            </w:r>
          </w:p>
        </w:tc>
        <w:tc>
          <w:tcPr>
            <w:tcW w:w="709" w:type="dxa"/>
            <w:tcBorders>
              <w:top w:val="nil"/>
              <w:left w:val="nil"/>
              <w:bottom w:val="single" w:sz="8" w:space="0" w:color="auto"/>
              <w:right w:val="single" w:sz="8" w:space="0" w:color="auto"/>
            </w:tcBorders>
            <w:shd w:val="clear" w:color="auto" w:fill="auto"/>
            <w:noWrap/>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10%</w:t>
            </w:r>
          </w:p>
        </w:tc>
        <w:tc>
          <w:tcPr>
            <w:tcW w:w="850" w:type="dxa"/>
            <w:tcBorders>
              <w:top w:val="nil"/>
              <w:left w:val="nil"/>
              <w:bottom w:val="single" w:sz="8" w:space="0" w:color="auto"/>
              <w:right w:val="single" w:sz="8" w:space="0" w:color="auto"/>
            </w:tcBorders>
            <w:shd w:val="clear" w:color="auto" w:fill="auto"/>
            <w:vAlign w:val="center"/>
            <w:hideMark/>
          </w:tcPr>
          <w:p w:rsidR="00654C19" w:rsidRPr="003169C4" w:rsidRDefault="00654C19" w:rsidP="00DD7731">
            <w:pPr>
              <w:widowControl/>
              <w:jc w:val="center"/>
              <w:rPr>
                <w:rFonts w:ascii="仿宋_GB2312" w:eastAsia="仿宋_GB2312" w:hAnsi="宋体" w:cs="宋体"/>
                <w:color w:val="000000"/>
                <w:kern w:val="0"/>
                <w:sz w:val="24"/>
              </w:rPr>
            </w:pPr>
            <w:r w:rsidRPr="003169C4">
              <w:rPr>
                <w:rFonts w:ascii="仿宋_GB2312" w:eastAsia="仿宋_GB2312" w:hAnsi="宋体" w:cs="宋体"/>
                <w:color w:val="000000"/>
                <w:kern w:val="0"/>
                <w:sz w:val="24"/>
              </w:rPr>
              <w:t>10%</w:t>
            </w:r>
          </w:p>
        </w:tc>
      </w:tr>
    </w:tbl>
    <w:p w:rsidR="00654C19" w:rsidRPr="00774D5F" w:rsidRDefault="00654C19" w:rsidP="00654C19">
      <w:pPr>
        <w:widowControl/>
        <w:jc w:val="left"/>
        <w:rPr>
          <w:rFonts w:ascii="仿宋_GB2312" w:eastAsia="仿宋_GB2312" w:hAnsi="宋体"/>
          <w:sz w:val="30"/>
          <w:szCs w:val="30"/>
        </w:rPr>
      </w:pPr>
      <w:r w:rsidRPr="00774D5F">
        <w:rPr>
          <w:rFonts w:ascii="仿宋_GB2312" w:eastAsia="仿宋_GB2312" w:hAnsi="Calibri" w:hint="eastAsia"/>
          <w:sz w:val="30"/>
          <w:szCs w:val="30"/>
        </w:rPr>
        <w:br w:type="page"/>
      </w:r>
      <w:r w:rsidRPr="00774D5F">
        <w:rPr>
          <w:rFonts w:ascii="仿宋_GB2312" w:eastAsia="仿宋_GB2312" w:hAnsi="宋体" w:hint="eastAsia"/>
          <w:sz w:val="30"/>
          <w:szCs w:val="30"/>
        </w:rPr>
        <w:lastRenderedPageBreak/>
        <w:t>附2：</w:t>
      </w:r>
    </w:p>
    <w:p w:rsidR="00654C19" w:rsidRPr="00774D5F" w:rsidRDefault="00654C19" w:rsidP="002F4343">
      <w:pPr>
        <w:spacing w:beforeLines="50" w:afterLines="50" w:line="600" w:lineRule="exact"/>
        <w:jc w:val="center"/>
        <w:rPr>
          <w:rFonts w:ascii="宋体" w:hAnsi="宋体"/>
          <w:b/>
          <w:sz w:val="30"/>
          <w:szCs w:val="30"/>
        </w:rPr>
      </w:pPr>
      <w:r w:rsidRPr="00774D5F">
        <w:rPr>
          <w:rFonts w:ascii="宋体" w:hAnsi="宋体" w:hint="eastAsia"/>
          <w:b/>
          <w:sz w:val="30"/>
          <w:szCs w:val="30"/>
        </w:rPr>
        <w:t>国债承销团专家评分方法</w:t>
      </w:r>
    </w:p>
    <w:p w:rsidR="00654C19" w:rsidRPr="00774D5F" w:rsidRDefault="00654C19" w:rsidP="00654C19">
      <w:pPr>
        <w:spacing w:line="600" w:lineRule="exact"/>
        <w:ind w:firstLineChars="188" w:firstLine="566"/>
        <w:jc w:val="left"/>
        <w:rPr>
          <w:rFonts w:ascii="仿宋_GB2312" w:eastAsia="仿宋_GB2312" w:hAnsi="宋体"/>
          <w:b/>
          <w:sz w:val="30"/>
          <w:szCs w:val="30"/>
        </w:rPr>
      </w:pPr>
      <w:r w:rsidRPr="00774D5F">
        <w:rPr>
          <w:rFonts w:ascii="仿宋_GB2312" w:eastAsia="仿宋_GB2312" w:hAnsi="宋体" w:hint="eastAsia"/>
          <w:b/>
          <w:sz w:val="30"/>
          <w:szCs w:val="30"/>
        </w:rPr>
        <w:t>一、储蓄国债承销团</w: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宋体" w:hint="eastAsia"/>
          <w:sz w:val="30"/>
          <w:szCs w:val="30"/>
        </w:rPr>
        <w:t>储蓄国债业务开展情况、储蓄存款和理财产品情况、业务渠道情况、风险防控能力</w:t>
      </w:r>
      <w:r w:rsidRPr="00774D5F">
        <w:rPr>
          <w:rFonts w:ascii="仿宋_GB2312" w:eastAsia="仿宋_GB2312" w:hAnsi="Calibri" w:hint="eastAsia"/>
          <w:sz w:val="30"/>
          <w:szCs w:val="30"/>
        </w:rPr>
        <w:t>根据报名机构相关业务数据计算得出，资本经营状况、其他因素由评审专家根据报名机构情况打分得出</w:t>
      </w:r>
      <w:r>
        <w:rPr>
          <w:rFonts w:ascii="仿宋_GB2312" w:eastAsia="仿宋_GB2312" w:hAnsi="Calibri" w:hint="eastAsia"/>
          <w:sz w:val="30"/>
          <w:szCs w:val="30"/>
        </w:rPr>
        <w:t>，各分项指标得分、总分计算过程及结果均保留2位小数（2位小数以后四舍五入</w:t>
      </w:r>
      <w:r w:rsidR="00D81245">
        <w:rPr>
          <w:rFonts w:ascii="仿宋_GB2312" w:eastAsia="仿宋_GB2312" w:hAnsi="Calibri" w:hint="eastAsia"/>
          <w:sz w:val="30"/>
          <w:szCs w:val="30"/>
        </w:rPr>
        <w:t>，下同</w:t>
      </w:r>
      <w:r>
        <w:rPr>
          <w:rFonts w:ascii="仿宋_GB2312" w:eastAsia="仿宋_GB2312" w:hAnsi="Calibri" w:hint="eastAsia"/>
          <w:sz w:val="30"/>
          <w:szCs w:val="30"/>
        </w:rPr>
        <w:t>）</w:t>
      </w:r>
      <w:r w:rsidRPr="00774D5F">
        <w:rPr>
          <w:rFonts w:ascii="仿宋_GB2312" w:eastAsia="仿宋_GB2312" w:hAnsi="Calibri" w:hint="eastAsia"/>
          <w:sz w:val="30"/>
          <w:szCs w:val="30"/>
        </w:rPr>
        <w:t>。</w: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Calibri" w:hint="eastAsia"/>
          <w:sz w:val="30"/>
          <w:szCs w:val="30"/>
        </w:rPr>
        <w:t>（一）前三部分评分指标计算方法。</w: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宋体" w:hint="eastAsia"/>
          <w:sz w:val="30"/>
          <w:szCs w:val="30"/>
        </w:rPr>
        <w:t>储蓄国债业务开展情况、储蓄存款和理财产品情况、业务渠道情况</w:t>
      </w:r>
      <w:r w:rsidRPr="00774D5F">
        <w:rPr>
          <w:rFonts w:ascii="仿宋_GB2312" w:eastAsia="仿宋_GB2312" w:hAnsi="Calibri" w:hint="eastAsia"/>
          <w:sz w:val="30"/>
          <w:szCs w:val="30"/>
        </w:rPr>
        <w:t>得分计算方法为：</w:t>
      </w:r>
    </w:p>
    <w:p w:rsidR="00654C19" w:rsidRPr="00774D5F" w:rsidRDefault="00654C19" w:rsidP="00654C19">
      <w:pPr>
        <w:adjustRightInd w:val="0"/>
        <w:snapToGrid w:val="0"/>
        <w:spacing w:line="360" w:lineRule="auto"/>
        <w:ind w:firstLine="480"/>
        <w:rPr>
          <w:rFonts w:ascii="仿宋_GB2312" w:eastAsia="仿宋_GB2312" w:hAnsi="Calibri"/>
          <w:sz w:val="24"/>
        </w:rPr>
      </w:pPr>
      <w:r w:rsidRPr="00774D5F">
        <w:rPr>
          <w:rFonts w:ascii="仿宋_GB2312" w:eastAsia="仿宋_GB2312" w:hAnsi="Calibri" w:hint="eastAsia"/>
          <w:sz w:val="24"/>
        </w:rPr>
        <w:t>单项指标得分=</w:t>
      </w:r>
      <w:r w:rsidRPr="00774D5F">
        <w:rPr>
          <w:rFonts w:ascii="仿宋_GB2312" w:eastAsia="仿宋_GB2312" w:hAnsi="Calibri"/>
          <w:position w:val="-26"/>
          <w:sz w:val="24"/>
        </w:rPr>
        <w:object w:dxaOrig="39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33pt" o:ole="">
            <v:imagedata r:id="rId8" o:title=""/>
          </v:shape>
          <o:OLEObject Type="Embed" ProgID="Equation.3" ShapeID="_x0000_i1025" DrawAspect="Content" ObjectID="_1665578709" r:id="rId9"/>
        </w:object>
      </w:r>
      <w:r w:rsidRPr="00774D5F">
        <w:rPr>
          <w:rFonts w:ascii="仿宋_GB2312" w:eastAsia="仿宋_GB2312" w:hAnsi="Calibri" w:hint="eastAsia"/>
          <w:sz w:val="24"/>
        </w:rPr>
        <w:t>×100</w:t>
      </w:r>
    </w:p>
    <w:p w:rsidR="00654C19" w:rsidRPr="00774D5F" w:rsidRDefault="00654C19" w:rsidP="00654C19">
      <w:pPr>
        <w:adjustRightInd w:val="0"/>
        <w:snapToGrid w:val="0"/>
        <w:spacing w:line="360" w:lineRule="auto"/>
        <w:ind w:firstLine="480"/>
        <w:rPr>
          <w:rFonts w:ascii="仿宋_GB2312" w:eastAsia="仿宋_GB2312" w:hAnsi="Calibri"/>
          <w:sz w:val="30"/>
          <w:szCs w:val="30"/>
        </w:rPr>
      </w:pPr>
      <w:r w:rsidRPr="00774D5F">
        <w:rPr>
          <w:rFonts w:ascii="仿宋_GB2312" w:eastAsia="仿宋_GB2312" w:hAnsi="Calibri" w:hint="eastAsia"/>
          <w:sz w:val="30"/>
          <w:szCs w:val="30"/>
        </w:rPr>
        <w:t>其中，储蓄国债业务开展年限超过5年的，按5年计算。</w: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Calibri" w:hint="eastAsia"/>
          <w:sz w:val="30"/>
          <w:szCs w:val="30"/>
        </w:rPr>
        <w:t>（二）</w:t>
      </w:r>
      <w:r>
        <w:rPr>
          <w:rFonts w:ascii="仿宋_GB2312" w:eastAsia="仿宋_GB2312" w:hAnsi="Calibri" w:hint="eastAsia"/>
          <w:sz w:val="30"/>
          <w:szCs w:val="30"/>
        </w:rPr>
        <w:t>风险防控能力</w:t>
      </w:r>
      <w:r w:rsidRPr="00774D5F">
        <w:rPr>
          <w:rFonts w:ascii="仿宋_GB2312" w:eastAsia="仿宋_GB2312" w:hAnsi="Calibri" w:hint="eastAsia"/>
          <w:sz w:val="30"/>
          <w:szCs w:val="30"/>
        </w:rPr>
        <w:t>评分指标计算方法。</w: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Calibri" w:hint="eastAsia"/>
          <w:sz w:val="30"/>
          <w:szCs w:val="30"/>
        </w:rPr>
        <w:t>1.资本充足率：</w:t>
      </w:r>
      <w:r>
        <w:rPr>
          <w:rFonts w:ascii="仿宋_GB2312" w:eastAsia="仿宋_GB2312" w:hAnsi="Calibri" w:hint="eastAsia"/>
          <w:sz w:val="30"/>
          <w:szCs w:val="30"/>
        </w:rPr>
        <w:t>10.5</w:t>
      </w:r>
      <w:r w:rsidRPr="00774D5F">
        <w:rPr>
          <w:rFonts w:ascii="仿宋_GB2312" w:eastAsia="仿宋_GB2312" w:hAnsi="Calibri" w:hint="eastAsia"/>
          <w:sz w:val="30"/>
          <w:szCs w:val="30"/>
        </w:rPr>
        <w:t>%以上,100分；</w:t>
      </w:r>
      <w:r>
        <w:rPr>
          <w:rFonts w:ascii="仿宋_GB2312" w:eastAsia="仿宋_GB2312" w:hAnsi="Calibri" w:hint="eastAsia"/>
          <w:sz w:val="30"/>
          <w:szCs w:val="30"/>
        </w:rPr>
        <w:t>5.25</w:t>
      </w:r>
      <w:r w:rsidRPr="00774D5F">
        <w:rPr>
          <w:rFonts w:ascii="仿宋_GB2312" w:eastAsia="仿宋_GB2312" w:hAnsi="Calibri" w:hint="eastAsia"/>
          <w:sz w:val="30"/>
          <w:szCs w:val="30"/>
        </w:rPr>
        <w:t>%以下，0分；</w:t>
      </w:r>
    </w:p>
    <w:p w:rsidR="00654C19" w:rsidRPr="00774D5F" w:rsidRDefault="00D81245" w:rsidP="00D81245">
      <w:pPr>
        <w:adjustRightInd w:val="0"/>
        <w:snapToGrid w:val="0"/>
        <w:spacing w:line="360" w:lineRule="auto"/>
        <w:rPr>
          <w:rFonts w:ascii="仿宋_GB2312" w:eastAsia="仿宋_GB2312" w:hAnsi="Calibri"/>
          <w:position w:val="-30"/>
          <w:sz w:val="24"/>
        </w:rPr>
      </w:pPr>
      <w:r>
        <w:rPr>
          <w:rFonts w:ascii="仿宋_GB2312" w:eastAsia="仿宋_GB2312" w:hAnsi="Calibri" w:hint="eastAsia"/>
          <w:sz w:val="30"/>
          <w:szCs w:val="30"/>
        </w:rPr>
        <w:t xml:space="preserve">                  5.25</w:t>
      </w:r>
      <w:r w:rsidR="00654C19" w:rsidRPr="00774D5F">
        <w:rPr>
          <w:rFonts w:ascii="仿宋_GB2312" w:eastAsia="仿宋_GB2312" w:hAnsi="Calibri" w:hint="eastAsia"/>
          <w:sz w:val="30"/>
          <w:szCs w:val="30"/>
        </w:rPr>
        <w:t>%至</w:t>
      </w:r>
      <w:r>
        <w:rPr>
          <w:rFonts w:ascii="仿宋_GB2312" w:eastAsia="仿宋_GB2312" w:hAnsi="Calibri" w:hint="eastAsia"/>
          <w:sz w:val="30"/>
          <w:szCs w:val="30"/>
        </w:rPr>
        <w:t>10.5</w:t>
      </w:r>
      <w:r w:rsidR="00654C19" w:rsidRPr="00774D5F">
        <w:rPr>
          <w:rFonts w:ascii="仿宋_GB2312" w:eastAsia="仿宋_GB2312" w:hAnsi="Calibri" w:hint="eastAsia"/>
          <w:sz w:val="30"/>
          <w:szCs w:val="30"/>
        </w:rPr>
        <w:t>%，</w:t>
      </w:r>
      <w:r w:rsidR="00654C19" w:rsidRPr="00774D5F">
        <w:rPr>
          <w:rFonts w:ascii="仿宋_GB2312" w:eastAsia="仿宋_GB2312" w:hAnsi="Calibri"/>
          <w:position w:val="-24"/>
          <w:sz w:val="24"/>
        </w:rPr>
        <w:object w:dxaOrig="3100" w:dyaOrig="639">
          <v:shape id="_x0000_i1026" type="#_x0000_t75" style="width:155.25pt;height:32.25pt" o:ole="">
            <v:imagedata r:id="rId10" o:title=""/>
          </v:shape>
          <o:OLEObject Type="Embed" ProgID="Equation.3" ShapeID="_x0000_i1026" DrawAspect="Content" ObjectID="_1665578710" r:id="rId11"/>
        </w:object>
      </w:r>
    </w:p>
    <w:p w:rsidR="00654C19" w:rsidRPr="00774D5F" w:rsidRDefault="00654C19" w:rsidP="00654C19">
      <w:pPr>
        <w:adjustRightInd w:val="0"/>
        <w:snapToGrid w:val="0"/>
        <w:spacing w:line="360" w:lineRule="auto"/>
        <w:ind w:firstLineChars="210" w:firstLine="630"/>
        <w:rPr>
          <w:rFonts w:ascii="仿宋_GB2312" w:eastAsia="仿宋_GB2312" w:hAnsi="Calibri"/>
          <w:position w:val="-30"/>
          <w:sz w:val="30"/>
          <w:szCs w:val="30"/>
        </w:rPr>
      </w:pPr>
      <w:r w:rsidRPr="00774D5F">
        <w:rPr>
          <w:rFonts w:ascii="仿宋_GB2312" w:eastAsia="仿宋_GB2312" w:hAnsi="Calibri" w:hint="eastAsia"/>
          <w:position w:val="-30"/>
          <w:sz w:val="30"/>
          <w:szCs w:val="30"/>
        </w:rPr>
        <w:t>2.杠杆率： 高于5.6%，100分；低于2.4%，0分；</w:t>
      </w:r>
    </w:p>
    <w:p w:rsidR="00654C19" w:rsidRPr="00774D5F" w:rsidRDefault="00D81245" w:rsidP="00654C19">
      <w:pPr>
        <w:adjustRightInd w:val="0"/>
        <w:snapToGrid w:val="0"/>
        <w:spacing w:line="360" w:lineRule="auto"/>
        <w:ind w:firstLineChars="760" w:firstLine="2280"/>
        <w:rPr>
          <w:rFonts w:ascii="仿宋_GB2312" w:eastAsia="仿宋_GB2312" w:hAnsi="Calibri"/>
          <w:position w:val="-30"/>
          <w:sz w:val="30"/>
          <w:szCs w:val="30"/>
        </w:rPr>
      </w:pPr>
      <w:r w:rsidRPr="00774D5F">
        <w:rPr>
          <w:rFonts w:ascii="仿宋_GB2312" w:eastAsia="仿宋_GB2312" w:hAnsi="Calibri" w:hint="eastAsia"/>
          <w:sz w:val="30"/>
          <w:szCs w:val="30"/>
        </w:rPr>
        <w:t>2.4</w:t>
      </w:r>
      <w:r w:rsidR="00654C19" w:rsidRPr="00774D5F">
        <w:rPr>
          <w:rFonts w:ascii="仿宋_GB2312" w:eastAsia="仿宋_GB2312" w:hAnsi="Calibri" w:hint="eastAsia"/>
          <w:sz w:val="30"/>
          <w:szCs w:val="30"/>
        </w:rPr>
        <w:t>%至</w:t>
      </w:r>
      <w:r w:rsidRPr="00774D5F">
        <w:rPr>
          <w:rFonts w:ascii="仿宋_GB2312" w:eastAsia="仿宋_GB2312" w:hAnsi="Calibri" w:hint="eastAsia"/>
          <w:sz w:val="30"/>
          <w:szCs w:val="30"/>
        </w:rPr>
        <w:t>5.6</w:t>
      </w:r>
      <w:r w:rsidR="00654C19" w:rsidRPr="00774D5F">
        <w:rPr>
          <w:rFonts w:ascii="仿宋_GB2312" w:eastAsia="仿宋_GB2312" w:hAnsi="Calibri" w:hint="eastAsia"/>
          <w:sz w:val="30"/>
          <w:szCs w:val="30"/>
        </w:rPr>
        <w:t>%，</w:t>
      </w:r>
      <w:r w:rsidR="00654C19" w:rsidRPr="00774D5F">
        <w:rPr>
          <w:rFonts w:ascii="仿宋_GB2312" w:eastAsia="仿宋_GB2312" w:hAnsi="Calibri"/>
          <w:position w:val="-24"/>
          <w:sz w:val="24"/>
        </w:rPr>
        <w:object w:dxaOrig="2500" w:dyaOrig="639">
          <v:shape id="_x0000_i1027" type="#_x0000_t75" style="width:125.25pt;height:32.25pt" o:ole="">
            <v:imagedata r:id="rId12" o:title=""/>
          </v:shape>
          <o:OLEObject Type="Embed" ProgID="Equation.3" ShapeID="_x0000_i1027" DrawAspect="Content" ObjectID="_1665578711" r:id="rId13"/>
        </w:object>
      </w:r>
    </w:p>
    <w:p w:rsidR="00654C19" w:rsidRPr="00774D5F" w:rsidRDefault="00654C19" w:rsidP="00654C19">
      <w:pPr>
        <w:adjustRightInd w:val="0"/>
        <w:snapToGrid w:val="0"/>
        <w:spacing w:line="360" w:lineRule="auto"/>
        <w:ind w:firstLineChars="216" w:firstLine="648"/>
        <w:rPr>
          <w:rFonts w:ascii="仿宋_GB2312" w:eastAsia="仿宋_GB2312" w:hAnsi="Calibri"/>
          <w:position w:val="-30"/>
          <w:sz w:val="30"/>
          <w:szCs w:val="30"/>
        </w:rPr>
      </w:pPr>
      <w:r w:rsidRPr="00774D5F">
        <w:rPr>
          <w:rFonts w:ascii="仿宋_GB2312" w:eastAsia="仿宋_GB2312" w:hAnsi="Calibri" w:hint="eastAsia"/>
          <w:position w:val="-30"/>
          <w:sz w:val="30"/>
          <w:szCs w:val="30"/>
        </w:rPr>
        <w:t>3</w:t>
      </w:r>
      <w:r w:rsidRPr="00774D5F">
        <w:rPr>
          <w:rFonts w:ascii="仿宋_GB2312" w:eastAsia="仿宋_GB2312" w:hAnsi="Calibri"/>
          <w:position w:val="-30"/>
          <w:sz w:val="30"/>
          <w:szCs w:val="30"/>
        </w:rPr>
        <w:t>.</w:t>
      </w:r>
      <w:r w:rsidRPr="00774D5F">
        <w:rPr>
          <w:rFonts w:ascii="仿宋_GB2312" w:eastAsia="仿宋_GB2312" w:hAnsi="Calibri" w:hint="eastAsia"/>
          <w:position w:val="-30"/>
          <w:sz w:val="30"/>
          <w:szCs w:val="30"/>
        </w:rPr>
        <w:t>不良贷款率：2%以下，100分；10%以上，0分；</w:t>
      </w:r>
    </w:p>
    <w:p w:rsidR="00654C19" w:rsidRPr="00774D5F" w:rsidRDefault="00D81245" w:rsidP="00654C19">
      <w:pPr>
        <w:adjustRightInd w:val="0"/>
        <w:snapToGrid w:val="0"/>
        <w:spacing w:line="360" w:lineRule="auto"/>
        <w:ind w:firstLineChars="916" w:firstLine="2748"/>
        <w:rPr>
          <w:rFonts w:ascii="仿宋_GB2312" w:eastAsia="仿宋_GB2312" w:hAnsi="Calibri"/>
          <w:position w:val="-30"/>
          <w:sz w:val="24"/>
        </w:rPr>
      </w:pPr>
      <w:r w:rsidRPr="00774D5F">
        <w:rPr>
          <w:rFonts w:ascii="仿宋_GB2312" w:eastAsia="仿宋_GB2312" w:hAnsi="Calibri" w:hint="eastAsia"/>
          <w:sz w:val="30"/>
          <w:szCs w:val="30"/>
        </w:rPr>
        <w:t>2</w:t>
      </w:r>
      <w:r w:rsidR="00654C19" w:rsidRPr="00774D5F">
        <w:rPr>
          <w:rFonts w:ascii="仿宋_GB2312" w:eastAsia="仿宋_GB2312" w:hAnsi="Calibri" w:hint="eastAsia"/>
          <w:sz w:val="30"/>
          <w:szCs w:val="30"/>
        </w:rPr>
        <w:t>%至</w:t>
      </w:r>
      <w:r w:rsidRPr="00774D5F">
        <w:rPr>
          <w:rFonts w:ascii="仿宋_GB2312" w:eastAsia="仿宋_GB2312" w:hAnsi="Calibri" w:hint="eastAsia"/>
          <w:sz w:val="30"/>
          <w:szCs w:val="30"/>
        </w:rPr>
        <w:t>10</w:t>
      </w:r>
      <w:r w:rsidR="00654C19" w:rsidRPr="00774D5F">
        <w:rPr>
          <w:rFonts w:ascii="仿宋_GB2312" w:eastAsia="仿宋_GB2312" w:hAnsi="Calibri" w:hint="eastAsia"/>
          <w:sz w:val="30"/>
          <w:szCs w:val="30"/>
        </w:rPr>
        <w:t>%，</w:t>
      </w:r>
      <w:r w:rsidR="00654C19" w:rsidRPr="00774D5F">
        <w:rPr>
          <w:rFonts w:ascii="仿宋_GB2312" w:eastAsia="仿宋_GB2312" w:hAnsi="Calibri"/>
          <w:position w:val="-24"/>
          <w:sz w:val="24"/>
        </w:rPr>
        <w:object w:dxaOrig="2860" w:dyaOrig="639">
          <v:shape id="_x0000_i1028" type="#_x0000_t75" style="width:142.5pt;height:32.25pt" o:ole="">
            <v:imagedata r:id="rId14" o:title=""/>
          </v:shape>
          <o:OLEObject Type="Embed" ProgID="Equation.3" ShapeID="_x0000_i1028" DrawAspect="Content" ObjectID="_1665578712" r:id="rId15"/>
        </w:object>
      </w:r>
    </w:p>
    <w:p w:rsidR="00654C19" w:rsidRPr="00774D5F" w:rsidRDefault="00654C19" w:rsidP="00654C19">
      <w:pPr>
        <w:adjustRightInd w:val="0"/>
        <w:snapToGrid w:val="0"/>
        <w:spacing w:line="360" w:lineRule="auto"/>
        <w:ind w:firstLine="200"/>
        <w:rPr>
          <w:rFonts w:ascii="仿宋_GB2312" w:eastAsia="仿宋_GB2312" w:hAnsi="Calibri"/>
          <w:sz w:val="30"/>
          <w:szCs w:val="30"/>
        </w:rPr>
      </w:pPr>
      <w:r w:rsidRPr="00774D5F">
        <w:rPr>
          <w:rFonts w:ascii="仿宋_GB2312" w:eastAsia="仿宋_GB2312" w:hAnsi="Calibri" w:hint="eastAsia"/>
          <w:sz w:val="30"/>
          <w:szCs w:val="30"/>
        </w:rPr>
        <w:t xml:space="preserve">   4.拨备覆盖率：300%以上，100分；100%以下，0分；</w:t>
      </w:r>
    </w:p>
    <w:p w:rsidR="00654C19" w:rsidRPr="00774D5F" w:rsidRDefault="00654C19" w:rsidP="00654C19">
      <w:pPr>
        <w:adjustRightInd w:val="0"/>
        <w:snapToGrid w:val="0"/>
        <w:spacing w:line="360" w:lineRule="auto"/>
        <w:ind w:firstLineChars="950" w:firstLine="2850"/>
        <w:rPr>
          <w:rFonts w:ascii="仿宋_GB2312" w:eastAsia="仿宋_GB2312" w:hAnsi="Calibri"/>
          <w:sz w:val="30"/>
          <w:szCs w:val="30"/>
        </w:rPr>
      </w:pPr>
      <w:r w:rsidRPr="00774D5F">
        <w:rPr>
          <w:rFonts w:ascii="仿宋_GB2312" w:eastAsia="仿宋_GB2312" w:hAnsi="Calibri" w:hint="eastAsia"/>
          <w:sz w:val="30"/>
          <w:szCs w:val="30"/>
        </w:rPr>
        <w:lastRenderedPageBreak/>
        <w:t>100%至300%，</w:t>
      </w:r>
      <w:r w:rsidRPr="00774D5F">
        <w:rPr>
          <w:rFonts w:ascii="仿宋_GB2312" w:eastAsia="仿宋_GB2312" w:hAnsi="Calibri"/>
          <w:position w:val="-24"/>
          <w:sz w:val="24"/>
        </w:rPr>
        <w:object w:dxaOrig="2980" w:dyaOrig="639">
          <v:shape id="_x0000_i1029" type="#_x0000_t75" style="width:149.25pt;height:32.25pt" o:ole="">
            <v:imagedata r:id="rId16" o:title=""/>
          </v:shape>
          <o:OLEObject Type="Embed" ProgID="Equation.3" ShapeID="_x0000_i1029" DrawAspect="Content" ObjectID="_1665578713" r:id="rId17"/>
        </w:object>
      </w:r>
    </w:p>
    <w:p w:rsidR="00654C19" w:rsidRPr="00774D5F" w:rsidRDefault="00654C19" w:rsidP="00654C19">
      <w:pPr>
        <w:adjustRightInd w:val="0"/>
        <w:snapToGrid w:val="0"/>
        <w:spacing w:line="360" w:lineRule="auto"/>
        <w:ind w:firstLineChars="200" w:firstLine="600"/>
        <w:rPr>
          <w:rFonts w:ascii="仿宋_GB2312" w:eastAsia="仿宋_GB2312" w:hAnsi="Calibri"/>
          <w:sz w:val="30"/>
          <w:szCs w:val="30"/>
        </w:rPr>
      </w:pPr>
      <w:r w:rsidRPr="00774D5F">
        <w:rPr>
          <w:rFonts w:ascii="仿宋_GB2312" w:eastAsia="仿宋_GB2312" w:hAnsi="Calibri" w:hint="eastAsia"/>
          <w:sz w:val="30"/>
          <w:szCs w:val="30"/>
        </w:rPr>
        <w:t>5.流动性覆盖率：高于108%，100分；低于54%，0分；</w:t>
      </w:r>
    </w:p>
    <w:p w:rsidR="00654C19" w:rsidRPr="00774D5F" w:rsidRDefault="00654C19" w:rsidP="00654C19">
      <w:pPr>
        <w:adjustRightInd w:val="0"/>
        <w:snapToGrid w:val="0"/>
        <w:spacing w:line="360" w:lineRule="auto"/>
        <w:ind w:firstLineChars="1000" w:firstLine="3000"/>
        <w:rPr>
          <w:rFonts w:ascii="仿宋_GB2312" w:eastAsia="仿宋_GB2312" w:hAnsi="Calibri"/>
          <w:sz w:val="30"/>
          <w:szCs w:val="30"/>
        </w:rPr>
      </w:pPr>
      <w:r w:rsidRPr="00774D5F">
        <w:rPr>
          <w:rFonts w:ascii="仿宋_GB2312" w:eastAsia="仿宋_GB2312" w:hAnsi="Calibri" w:hint="eastAsia"/>
          <w:sz w:val="30"/>
          <w:szCs w:val="30"/>
        </w:rPr>
        <w:t>54%至108%，</w:t>
      </w:r>
      <w:r w:rsidRPr="00774D5F">
        <w:rPr>
          <w:rFonts w:ascii="仿宋_GB2312" w:eastAsia="仿宋_GB2312" w:hAnsi="Calibri"/>
          <w:position w:val="-24"/>
          <w:sz w:val="24"/>
        </w:rPr>
        <w:object w:dxaOrig="3120" w:dyaOrig="639">
          <v:shape id="_x0000_i1030" type="#_x0000_t75" style="width:156pt;height:32.25pt" o:ole="">
            <v:imagedata r:id="rId18" o:title=""/>
          </v:shape>
          <o:OLEObject Type="Embed" ProgID="Equation.3" ShapeID="_x0000_i1030" DrawAspect="Content" ObjectID="_1665578714" r:id="rId19"/>
        </w:objec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Calibri" w:hint="eastAsia"/>
          <w:sz w:val="30"/>
          <w:szCs w:val="30"/>
        </w:rPr>
        <w:t>（三）后两部分评分指标评审方法。</w:t>
      </w:r>
    </w:p>
    <w:p w:rsidR="00654C19" w:rsidRPr="00774D5F" w:rsidRDefault="00654C19" w:rsidP="00654C19">
      <w:pPr>
        <w:widowControl/>
        <w:ind w:firstLineChars="189" w:firstLine="567"/>
        <w:jc w:val="left"/>
        <w:rPr>
          <w:rFonts w:ascii="仿宋_GB2312" w:eastAsia="仿宋_GB2312" w:hAnsi="Calibri"/>
          <w:sz w:val="30"/>
          <w:szCs w:val="30"/>
        </w:rPr>
      </w:pPr>
      <w:r w:rsidRPr="00774D5F">
        <w:rPr>
          <w:rFonts w:ascii="仿宋_GB2312" w:eastAsia="仿宋_GB2312" w:hAnsi="Calibri" w:hint="eastAsia"/>
          <w:sz w:val="30"/>
          <w:szCs w:val="30"/>
        </w:rPr>
        <w:t>资本经营状况由评审专家根据报名机构的总资产、净资产等进行评分，最高为10分；其他因素由评审专家根据报名机构的研究能力、创新能力等进行评分，最高为10分。</w: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Arial" w:cs="Arial" w:hint="eastAsia"/>
          <w:kern w:val="0"/>
          <w:sz w:val="30"/>
          <w:szCs w:val="30"/>
        </w:rPr>
        <w:t>（四）</w:t>
      </w:r>
      <w:r w:rsidRPr="00774D5F">
        <w:rPr>
          <w:rFonts w:ascii="仿宋_GB2312" w:eastAsia="仿宋_GB2312" w:hAnsi="Calibri" w:hint="eastAsia"/>
          <w:sz w:val="30"/>
          <w:szCs w:val="30"/>
        </w:rPr>
        <w:t>总分计算方法。</w:t>
      </w:r>
    </w:p>
    <w:p w:rsidR="00654C19" w:rsidRPr="00774D5F" w:rsidRDefault="00654C19" w:rsidP="00654C19">
      <w:pPr>
        <w:widowControl/>
        <w:spacing w:line="360" w:lineRule="auto"/>
        <w:ind w:leftChars="201" w:left="422" w:firstLine="143"/>
        <w:rPr>
          <w:rFonts w:ascii="仿宋_GB2312" w:eastAsia="仿宋_GB2312" w:hAnsi="Arial" w:cs="Arial"/>
          <w:kern w:val="0"/>
          <w:sz w:val="30"/>
          <w:szCs w:val="30"/>
        </w:rPr>
      </w:pPr>
      <w:r w:rsidRPr="00774D5F">
        <w:rPr>
          <w:rFonts w:ascii="仿宋_GB2312" w:eastAsia="仿宋_GB2312" w:hAnsi="Arial" w:cs="Arial" w:hint="eastAsia"/>
          <w:kern w:val="0"/>
          <w:sz w:val="30"/>
          <w:szCs w:val="30"/>
        </w:rPr>
        <w:t>单个专家对某个机构评分=</w:t>
      </w:r>
    </w:p>
    <w:p w:rsidR="00654C19" w:rsidRPr="00774D5F" w:rsidRDefault="00654C19" w:rsidP="00654C19">
      <w:pPr>
        <w:widowControl/>
        <w:spacing w:line="360" w:lineRule="auto"/>
        <w:rPr>
          <w:rFonts w:ascii="仿宋_GB2312" w:eastAsia="仿宋_GB2312" w:hAnsi="Arial" w:cs="Arial"/>
          <w:kern w:val="0"/>
          <w:sz w:val="24"/>
        </w:rPr>
      </w:pPr>
      <w:r w:rsidRPr="00774D5F">
        <w:rPr>
          <w:rFonts w:ascii="仿宋_GB2312" w:eastAsia="仿宋_GB2312" w:hAnsi="Arial" w:cs="Arial" w:hint="eastAsia"/>
          <w:kern w:val="0"/>
          <w:sz w:val="24"/>
        </w:rPr>
        <w:t>∑</w:t>
      </w:r>
      <w:r w:rsidRPr="00774D5F">
        <w:rPr>
          <w:rFonts w:ascii="仿宋_GB2312" w:eastAsia="仿宋_GB2312" w:hAnsi="Calibri" w:hint="eastAsia"/>
          <w:sz w:val="24"/>
        </w:rPr>
        <w:t>前四部分单项指标得分×本项指标权重</w:t>
      </w:r>
      <w:r w:rsidRPr="00774D5F">
        <w:rPr>
          <w:rFonts w:ascii="仿宋_GB2312" w:eastAsia="仿宋_GB2312" w:hAnsi="Arial" w:cs="Arial" w:hint="eastAsia"/>
          <w:kern w:val="0"/>
          <w:sz w:val="24"/>
        </w:rPr>
        <w:t>+资本经营状况得分+其他因素得分</w:t>
      </w:r>
    </w:p>
    <w:p w:rsidR="00654C19" w:rsidRPr="00774D5F" w:rsidRDefault="00654C19" w:rsidP="00654C19">
      <w:pPr>
        <w:widowControl/>
        <w:spacing w:line="360" w:lineRule="auto"/>
        <w:ind w:firstLineChars="200" w:firstLine="600"/>
        <w:rPr>
          <w:rFonts w:ascii="仿宋_GB2312" w:eastAsia="仿宋_GB2312" w:hAnsi="Calibri"/>
          <w:sz w:val="30"/>
          <w:szCs w:val="30"/>
        </w:rPr>
      </w:pPr>
      <w:r w:rsidRPr="00774D5F">
        <w:rPr>
          <w:rFonts w:ascii="仿宋_GB2312" w:eastAsia="仿宋_GB2312" w:hAnsi="Calibri" w:hint="eastAsia"/>
          <w:sz w:val="30"/>
          <w:szCs w:val="30"/>
        </w:rPr>
        <w:t>报名机构最终得分为去掉专家评分中的一个最高值和一个最低值后的其他得分的算术平均值。</w:t>
      </w:r>
    </w:p>
    <w:p w:rsidR="00654C19" w:rsidRPr="00774D5F" w:rsidRDefault="00654C19" w:rsidP="00654C19">
      <w:pPr>
        <w:spacing w:line="600" w:lineRule="exact"/>
        <w:ind w:firstLineChars="200" w:firstLine="602"/>
        <w:rPr>
          <w:rFonts w:ascii="仿宋_GB2312" w:eastAsia="仿宋_GB2312" w:hAnsi="Calibri"/>
          <w:b/>
          <w:sz w:val="30"/>
          <w:szCs w:val="30"/>
        </w:rPr>
      </w:pPr>
      <w:r w:rsidRPr="00774D5F">
        <w:rPr>
          <w:rFonts w:ascii="仿宋_GB2312" w:eastAsia="仿宋_GB2312" w:hAnsi="Calibri" w:hint="eastAsia"/>
          <w:b/>
          <w:sz w:val="30"/>
          <w:szCs w:val="30"/>
        </w:rPr>
        <w:t>二、记账式国债承销团</w: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宋体" w:hint="eastAsia"/>
          <w:sz w:val="30"/>
          <w:szCs w:val="30"/>
        </w:rPr>
        <w:t>国债一级市场情况、国债二级市场情况、</w:t>
      </w:r>
      <w:r w:rsidRPr="00774D5F">
        <w:rPr>
          <w:rFonts w:ascii="仿宋_GB2312" w:eastAsia="仿宋_GB2312" w:hAnsi="Calibri" w:hint="eastAsia"/>
          <w:sz w:val="30"/>
          <w:szCs w:val="30"/>
        </w:rPr>
        <w:t>国债持有情况、其他债券承销交易情况根据报名机构相关业务数据计算得出，资本经营及风险防控状况、其他因素由评审专家根据报名机构情况打分得出。</w: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Calibri" w:hint="eastAsia"/>
          <w:sz w:val="30"/>
          <w:szCs w:val="30"/>
        </w:rPr>
        <w:t>（一）前四部分评分指标计算方法。</w: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Calibri" w:hint="eastAsia"/>
          <w:sz w:val="30"/>
          <w:szCs w:val="30"/>
        </w:rPr>
        <w:t>国债一级市场情况、国债二级市场情况、国债持有情况、其他债券承销交易情况得分计算方法为：</w:t>
      </w:r>
    </w:p>
    <w:p w:rsidR="00654C19" w:rsidRPr="00774D5F" w:rsidRDefault="00654C19" w:rsidP="00654C19">
      <w:pPr>
        <w:adjustRightInd w:val="0"/>
        <w:snapToGrid w:val="0"/>
        <w:spacing w:line="360" w:lineRule="auto"/>
        <w:rPr>
          <w:rFonts w:ascii="仿宋_GB2312" w:eastAsia="仿宋_GB2312" w:hAnsi="Calibri"/>
          <w:sz w:val="24"/>
        </w:rPr>
      </w:pPr>
      <w:r w:rsidRPr="00774D5F">
        <w:rPr>
          <w:rFonts w:ascii="仿宋_GB2312" w:eastAsia="仿宋_GB2312" w:hAnsi="Calibri" w:hint="eastAsia"/>
          <w:sz w:val="24"/>
        </w:rPr>
        <w:t xml:space="preserve">    单项指标得分=</w:t>
      </w:r>
      <w:r w:rsidR="003B5E83" w:rsidRPr="003B5E83">
        <w:rPr>
          <w:rFonts w:ascii="仿宋_GB2312" w:eastAsia="仿宋_GB2312" w:hAnsi="Calibri"/>
          <w:position w:val="-26"/>
          <w:sz w:val="24"/>
        </w:rPr>
        <w:object w:dxaOrig="3940" w:dyaOrig="660">
          <v:shape id="_x0000_i1031" type="#_x0000_t75" style="width:195.75pt;height:33.75pt" o:ole="">
            <v:imagedata r:id="rId20" o:title=""/>
          </v:shape>
          <o:OLEObject Type="Embed" ProgID="Equation.3" ShapeID="_x0000_i1031" DrawAspect="Content" ObjectID="_1665578715" r:id="rId21"/>
        </w:object>
      </w:r>
      <w:r w:rsidRPr="00774D5F">
        <w:rPr>
          <w:rFonts w:ascii="仿宋_GB2312" w:eastAsia="仿宋_GB2312" w:hAnsi="Calibri" w:hint="eastAsia"/>
          <w:sz w:val="24"/>
        </w:rPr>
        <w:t>×100</w:t>
      </w:r>
    </w:p>
    <w:p w:rsidR="003B5E83" w:rsidRDefault="003B5E83" w:rsidP="00654C19">
      <w:pPr>
        <w:spacing w:line="600" w:lineRule="exact"/>
        <w:ind w:firstLineChars="200" w:firstLine="600"/>
        <w:rPr>
          <w:rFonts w:ascii="仿宋_GB2312" w:eastAsia="仿宋_GB2312" w:hAnsi="Calibri"/>
          <w:sz w:val="30"/>
          <w:szCs w:val="30"/>
        </w:rPr>
      </w:pP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Calibri" w:hint="eastAsia"/>
          <w:sz w:val="30"/>
          <w:szCs w:val="30"/>
        </w:rPr>
        <w:lastRenderedPageBreak/>
        <w:t>若参与</w:t>
      </w:r>
      <w:r>
        <w:rPr>
          <w:rFonts w:ascii="仿宋_GB2312" w:eastAsia="仿宋_GB2312" w:hAnsi="Calibri" w:hint="eastAsia"/>
          <w:sz w:val="30"/>
          <w:szCs w:val="30"/>
        </w:rPr>
        <w:t>第三方专家评审</w:t>
      </w:r>
      <w:r w:rsidRPr="00774D5F">
        <w:rPr>
          <w:rFonts w:ascii="仿宋_GB2312" w:eastAsia="仿宋_GB2312" w:hAnsi="Calibri" w:hint="eastAsia"/>
          <w:sz w:val="30"/>
          <w:szCs w:val="30"/>
        </w:rPr>
        <w:t>的所有报名机构某项指标数值都为0，则参与</w:t>
      </w:r>
      <w:r>
        <w:rPr>
          <w:rFonts w:ascii="仿宋_GB2312" w:eastAsia="仿宋_GB2312" w:hAnsi="Calibri" w:hint="eastAsia"/>
          <w:sz w:val="30"/>
          <w:szCs w:val="30"/>
        </w:rPr>
        <w:t>第三方专家评审</w:t>
      </w:r>
      <w:r w:rsidRPr="00774D5F">
        <w:rPr>
          <w:rFonts w:ascii="仿宋_GB2312" w:eastAsia="仿宋_GB2312" w:hAnsi="Calibri" w:hint="eastAsia"/>
          <w:sz w:val="30"/>
          <w:szCs w:val="30"/>
        </w:rPr>
        <w:t>的所有报名机构该项指标得分均为0。其中，投标准确度计算方法为：</w:t>
      </w:r>
    </w:p>
    <w:p w:rsidR="00654C19" w:rsidRPr="00774D5F" w:rsidRDefault="00654C19" w:rsidP="00654C19">
      <w:pPr>
        <w:widowControl/>
        <w:spacing w:line="360" w:lineRule="auto"/>
        <w:ind w:firstLineChars="200" w:firstLine="480"/>
        <w:rPr>
          <w:rFonts w:ascii="仿宋_GB2312" w:eastAsia="仿宋_GB2312" w:hAnsi="Arial" w:cs="Arial"/>
          <w:kern w:val="0"/>
          <w:sz w:val="24"/>
        </w:rPr>
      </w:pPr>
      <w:r w:rsidRPr="00774D5F">
        <w:rPr>
          <w:rFonts w:ascii="仿宋_GB2312" w:eastAsia="仿宋_GB2312" w:hAnsi="Arial" w:cs="Arial" w:hint="eastAsia"/>
          <w:kern w:val="0"/>
          <w:sz w:val="24"/>
        </w:rPr>
        <w:t>单次投标准确度</w:t>
      </w:r>
      <w:r w:rsidRPr="00774D5F">
        <w:rPr>
          <w:rFonts w:ascii="仿宋_GB2312" w:eastAsia="仿宋_GB2312" w:hAnsi="Arial" w:cs="Arial" w:hint="eastAsia"/>
          <w:kern w:val="0"/>
          <w:sz w:val="32"/>
          <w:szCs w:val="32"/>
        </w:rPr>
        <w:t>=</w:t>
      </w:r>
      <w:r w:rsidRPr="00774D5F">
        <w:rPr>
          <w:rFonts w:ascii="仿宋_GB2312" w:hAnsi="宋体"/>
          <w:position w:val="-30"/>
          <w:sz w:val="28"/>
          <w:szCs w:val="22"/>
        </w:rPr>
        <w:object w:dxaOrig="4300" w:dyaOrig="760">
          <v:shape id="_x0000_i1032" type="#_x0000_t75" style="width:215.25pt;height:39pt" o:ole="">
            <v:imagedata r:id="rId22" o:title=""/>
          </v:shape>
          <o:OLEObject Type="Embed" ProgID="Equation.3" ShapeID="_x0000_i1032" DrawAspect="Content" ObjectID="_1665578716" r:id="rId23"/>
        </w:object>
      </w:r>
      <w:r w:rsidRPr="00774D5F">
        <w:rPr>
          <w:rFonts w:ascii="仿宋_GB2312" w:eastAsia="仿宋_GB2312" w:hAnsi="Arial" w:cs="Arial" w:hint="eastAsia"/>
          <w:kern w:val="0"/>
          <w:sz w:val="24"/>
        </w:rPr>
        <w:t>×100</w:t>
      </w:r>
    </w:p>
    <w:p w:rsidR="00654C19" w:rsidRPr="00774D5F" w:rsidRDefault="00654C19" w:rsidP="003B5E83">
      <w:pPr>
        <w:widowControl/>
        <w:spacing w:line="360" w:lineRule="auto"/>
        <w:ind w:firstLineChars="200" w:firstLine="480"/>
        <w:rPr>
          <w:rFonts w:ascii="仿宋_GB2312" w:eastAsia="仿宋_GB2312" w:hAnsi="Arial" w:cs="Arial"/>
          <w:kern w:val="0"/>
          <w:sz w:val="24"/>
        </w:rPr>
      </w:pPr>
      <w:r w:rsidRPr="00774D5F">
        <w:rPr>
          <w:rFonts w:ascii="仿宋_GB2312" w:eastAsia="仿宋_GB2312" w:hAnsi="Arial" w:cs="Arial" w:hint="eastAsia"/>
          <w:kern w:val="0"/>
          <w:sz w:val="24"/>
        </w:rPr>
        <w:t>投标偏离值=</w:t>
      </w:r>
      <w:r w:rsidR="0008613F" w:rsidRPr="00774D5F">
        <w:rPr>
          <w:rFonts w:ascii="仿宋_GB2312" w:hAnsi="Calibri"/>
          <w:position w:val="-26"/>
          <w:szCs w:val="22"/>
        </w:rPr>
        <w:object w:dxaOrig="8880" w:dyaOrig="720">
          <v:shape id="_x0000_i1033" type="#_x0000_t75" style="width:315pt;height:25.5pt" o:ole="">
            <v:imagedata r:id="rId24" o:title=""/>
          </v:shape>
          <o:OLEObject Type="Embed" ProgID="Equation.3" ShapeID="_x0000_i1033" DrawAspect="Content" ObjectID="_1665578717" r:id="rId25"/>
        </w:objec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Calibri" w:hint="eastAsia"/>
          <w:sz w:val="30"/>
          <w:szCs w:val="30"/>
        </w:rPr>
        <w:t>（二）后两部分评分指标评审方法。</w:t>
      </w:r>
    </w:p>
    <w:p w:rsidR="00654C19" w:rsidRPr="00774D5F" w:rsidRDefault="00654C19" w:rsidP="00654C19">
      <w:pPr>
        <w:widowControl/>
        <w:ind w:firstLineChars="189" w:firstLine="567"/>
        <w:jc w:val="left"/>
        <w:rPr>
          <w:rFonts w:ascii="仿宋_GB2312" w:eastAsia="仿宋_GB2312" w:hAnsi="Calibri"/>
          <w:sz w:val="30"/>
          <w:szCs w:val="30"/>
        </w:rPr>
      </w:pPr>
      <w:r w:rsidRPr="00774D5F">
        <w:rPr>
          <w:rFonts w:ascii="仿宋_GB2312" w:eastAsia="仿宋_GB2312" w:hAnsi="Calibri" w:hint="eastAsia"/>
          <w:sz w:val="30"/>
          <w:szCs w:val="30"/>
        </w:rPr>
        <w:t>资本经营及风险防控状况由评审专家根据报名机构的总资产、注册资本等进行评分，最高为10分；其他因素由评审专家根据报名机构的研究能力、创新能力等进行评分，最高为10分。</w:t>
      </w:r>
    </w:p>
    <w:p w:rsidR="00654C19" w:rsidRPr="00774D5F" w:rsidRDefault="00654C19" w:rsidP="00654C19">
      <w:pPr>
        <w:spacing w:line="600" w:lineRule="exact"/>
        <w:ind w:firstLineChars="200" w:firstLine="600"/>
        <w:rPr>
          <w:rFonts w:ascii="仿宋_GB2312" w:eastAsia="仿宋_GB2312" w:hAnsi="Calibri"/>
          <w:sz w:val="30"/>
          <w:szCs w:val="30"/>
        </w:rPr>
      </w:pPr>
      <w:r w:rsidRPr="00774D5F">
        <w:rPr>
          <w:rFonts w:ascii="仿宋_GB2312" w:eastAsia="仿宋_GB2312" w:hAnsi="Arial" w:cs="Arial" w:hint="eastAsia"/>
          <w:kern w:val="0"/>
          <w:sz w:val="30"/>
          <w:szCs w:val="30"/>
        </w:rPr>
        <w:t>（三）</w:t>
      </w:r>
      <w:r w:rsidRPr="00774D5F">
        <w:rPr>
          <w:rFonts w:ascii="仿宋_GB2312" w:eastAsia="仿宋_GB2312" w:hAnsi="Calibri" w:hint="eastAsia"/>
          <w:sz w:val="30"/>
          <w:szCs w:val="30"/>
        </w:rPr>
        <w:t>总分计算方法。</w:t>
      </w:r>
    </w:p>
    <w:p w:rsidR="00654C19" w:rsidRPr="00774D5F" w:rsidRDefault="00654C19" w:rsidP="00654C19">
      <w:pPr>
        <w:widowControl/>
        <w:spacing w:line="360" w:lineRule="auto"/>
        <w:ind w:leftChars="201" w:left="422" w:firstLine="143"/>
        <w:rPr>
          <w:rFonts w:ascii="仿宋_GB2312" w:eastAsia="仿宋_GB2312" w:hAnsi="Arial" w:cs="Arial"/>
          <w:kern w:val="0"/>
          <w:sz w:val="30"/>
          <w:szCs w:val="30"/>
        </w:rPr>
      </w:pPr>
      <w:r w:rsidRPr="00774D5F">
        <w:rPr>
          <w:rFonts w:ascii="仿宋_GB2312" w:eastAsia="仿宋_GB2312" w:hAnsi="Arial" w:cs="Arial" w:hint="eastAsia"/>
          <w:kern w:val="0"/>
          <w:sz w:val="30"/>
          <w:szCs w:val="30"/>
        </w:rPr>
        <w:t>单个专家对某个机构评分=</w:t>
      </w:r>
    </w:p>
    <w:p w:rsidR="00654C19" w:rsidRPr="00774D5F" w:rsidRDefault="00654C19" w:rsidP="00654C19">
      <w:pPr>
        <w:widowControl/>
        <w:spacing w:line="360" w:lineRule="auto"/>
        <w:rPr>
          <w:rFonts w:ascii="仿宋_GB2312" w:eastAsia="仿宋_GB2312" w:hAnsi="Arial" w:cs="Arial"/>
          <w:kern w:val="0"/>
          <w:sz w:val="30"/>
          <w:szCs w:val="30"/>
        </w:rPr>
      </w:pPr>
      <w:r w:rsidRPr="00774D5F">
        <w:rPr>
          <w:rFonts w:ascii="仿宋_GB2312" w:eastAsia="仿宋_GB2312" w:hAnsi="Arial" w:cs="Arial" w:hint="eastAsia"/>
          <w:kern w:val="0"/>
          <w:sz w:val="24"/>
        </w:rPr>
        <w:t>∑前四部分单项指标得分×本项指标权重+资本经营及风险防控状况得分+其他因素得分</w:t>
      </w:r>
    </w:p>
    <w:p w:rsidR="00654C19" w:rsidRPr="00774D5F" w:rsidRDefault="00654C19" w:rsidP="00654C19">
      <w:pPr>
        <w:widowControl/>
        <w:spacing w:line="360" w:lineRule="auto"/>
        <w:ind w:firstLineChars="200" w:firstLine="600"/>
        <w:rPr>
          <w:rFonts w:ascii="仿宋_GB2312" w:eastAsia="仿宋_GB2312" w:hAnsi="Calibri"/>
          <w:sz w:val="30"/>
          <w:szCs w:val="30"/>
        </w:rPr>
      </w:pPr>
      <w:r w:rsidRPr="00774D5F">
        <w:rPr>
          <w:rFonts w:ascii="仿宋_GB2312" w:eastAsia="仿宋_GB2312" w:hAnsi="Calibri" w:hint="eastAsia"/>
          <w:sz w:val="30"/>
          <w:szCs w:val="30"/>
        </w:rPr>
        <w:t>报名机构最终得分为去掉专家评分中的一个最高值和一个最低值后的其他得分的算术平均值。</w:t>
      </w:r>
    </w:p>
    <w:p w:rsidR="00654C19" w:rsidRPr="00774D5F" w:rsidRDefault="00654C19" w:rsidP="00654C19">
      <w:pPr>
        <w:ind w:firstLineChars="1250" w:firstLine="3750"/>
        <w:rPr>
          <w:rFonts w:ascii="仿宋_GB2312" w:eastAsia="仿宋_GB2312"/>
          <w:sz w:val="30"/>
          <w:szCs w:val="30"/>
        </w:rPr>
      </w:pPr>
    </w:p>
    <w:p w:rsidR="00654C19" w:rsidRDefault="00654C19" w:rsidP="00654C19">
      <w:pPr>
        <w:ind w:firstLineChars="1250" w:firstLine="2625"/>
      </w:pPr>
    </w:p>
    <w:p w:rsidR="00A80827" w:rsidRPr="00654C19" w:rsidRDefault="00A80827"/>
    <w:sectPr w:rsidR="00A80827" w:rsidRPr="00654C19" w:rsidSect="000551D2">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1CB" w:rsidRDefault="00A951CB" w:rsidP="00654C19">
      <w:r>
        <w:separator/>
      </w:r>
    </w:p>
  </w:endnote>
  <w:endnote w:type="continuationSeparator" w:id="1">
    <w:p w:rsidR="00A951CB" w:rsidRDefault="00A951CB" w:rsidP="00654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00386"/>
      <w:docPartObj>
        <w:docPartGallery w:val="Page Numbers (Bottom of Page)"/>
        <w:docPartUnique/>
      </w:docPartObj>
    </w:sdtPr>
    <w:sdtContent>
      <w:p w:rsidR="00E83DB7" w:rsidRDefault="008459D5">
        <w:pPr>
          <w:pStyle w:val="a3"/>
          <w:jc w:val="center"/>
        </w:pPr>
        <w:r>
          <w:fldChar w:fldCharType="begin"/>
        </w:r>
        <w:r w:rsidR="00BE0B73">
          <w:instrText>PAGE   \* MERGEFORMAT</w:instrText>
        </w:r>
        <w:r>
          <w:fldChar w:fldCharType="separate"/>
        </w:r>
        <w:r w:rsidR="002F4343" w:rsidRPr="002F4343">
          <w:rPr>
            <w:noProof/>
            <w:lang w:val="zh-CN"/>
          </w:rPr>
          <w:t>2</w:t>
        </w:r>
        <w:r>
          <w:fldChar w:fldCharType="end"/>
        </w:r>
      </w:p>
    </w:sdtContent>
  </w:sdt>
  <w:p w:rsidR="00E83DB7" w:rsidRDefault="00A951C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1CB" w:rsidRDefault="00A951CB" w:rsidP="00654C19">
      <w:r>
        <w:separator/>
      </w:r>
    </w:p>
  </w:footnote>
  <w:footnote w:type="continuationSeparator" w:id="1">
    <w:p w:rsidR="00A951CB" w:rsidRDefault="00A951CB" w:rsidP="00654C19">
      <w:r>
        <w:continuationSeparator/>
      </w:r>
    </w:p>
  </w:footnote>
  <w:footnote w:id="2">
    <w:p w:rsidR="0025524F" w:rsidRDefault="0025524F">
      <w:pPr>
        <w:pStyle w:val="a4"/>
      </w:pPr>
      <w:r>
        <w:rPr>
          <w:rStyle w:val="a5"/>
        </w:rPr>
        <w:footnoteRef/>
      </w:r>
      <w:r>
        <w:rPr>
          <w:rFonts w:hint="eastAsia"/>
        </w:rPr>
        <w:t>国债回购、逆回购交易量包括质押式回购和买断式回购，不包括人民银行公开市场操作。</w:t>
      </w:r>
    </w:p>
    <w:p w:rsidR="0025524F" w:rsidRPr="0025524F" w:rsidRDefault="0025524F">
      <w:pPr>
        <w:pStyle w:val="a4"/>
      </w:pPr>
      <w:r>
        <w:rPr>
          <w:rFonts w:hint="eastAsia"/>
        </w:rPr>
        <w:t>国债做市</w:t>
      </w:r>
      <w:r w:rsidRPr="0025524F">
        <w:rPr>
          <w:rFonts w:hint="eastAsia"/>
        </w:rPr>
        <w:t>报价量和报价笔数指标均统计双边报价，且债券（单笔报价）低于</w:t>
      </w:r>
      <w:r w:rsidRPr="0025524F">
        <w:rPr>
          <w:rFonts w:hint="eastAsia"/>
        </w:rPr>
        <w:t>3000</w:t>
      </w:r>
      <w:r w:rsidRPr="0025524F">
        <w:rPr>
          <w:rFonts w:hint="eastAsia"/>
        </w:rPr>
        <w:t>万的双边报价不纳入计算范围；</w:t>
      </w:r>
      <w:r>
        <w:rPr>
          <w:rFonts w:hint="eastAsia"/>
        </w:rPr>
        <w:t>国债做市</w:t>
      </w:r>
      <w:r w:rsidRPr="0025524F">
        <w:rPr>
          <w:rFonts w:hint="eastAsia"/>
        </w:rPr>
        <w:t>成交量和成交笔数指标均统计双边成交。</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D09B0"/>
    <w:multiLevelType w:val="hybridMultilevel"/>
    <w:tmpl w:val="F2CC11C8"/>
    <w:lvl w:ilvl="0" w:tplc="060A1264">
      <w:start w:val="1"/>
      <w:numFmt w:val="japaneseCounting"/>
      <w:lvlText w:val="第%1章"/>
      <w:lvlJc w:val="left"/>
      <w:pPr>
        <w:ind w:left="1080" w:hanging="108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4C19"/>
    <w:rsid w:val="000650BA"/>
    <w:rsid w:val="00081660"/>
    <w:rsid w:val="0008613F"/>
    <w:rsid w:val="000E11E1"/>
    <w:rsid w:val="00113503"/>
    <w:rsid w:val="001306E0"/>
    <w:rsid w:val="0013632A"/>
    <w:rsid w:val="001C2AFB"/>
    <w:rsid w:val="001C3333"/>
    <w:rsid w:val="001E2810"/>
    <w:rsid w:val="001E4BE9"/>
    <w:rsid w:val="001E631B"/>
    <w:rsid w:val="001F229C"/>
    <w:rsid w:val="00206D4B"/>
    <w:rsid w:val="00213EB2"/>
    <w:rsid w:val="0025524F"/>
    <w:rsid w:val="00295963"/>
    <w:rsid w:val="002F4343"/>
    <w:rsid w:val="003169C4"/>
    <w:rsid w:val="00321A60"/>
    <w:rsid w:val="00336D48"/>
    <w:rsid w:val="00340442"/>
    <w:rsid w:val="00350BD9"/>
    <w:rsid w:val="003A435D"/>
    <w:rsid w:val="003B5E83"/>
    <w:rsid w:val="004176B4"/>
    <w:rsid w:val="00422642"/>
    <w:rsid w:val="0042394E"/>
    <w:rsid w:val="00462C61"/>
    <w:rsid w:val="00467835"/>
    <w:rsid w:val="004A427D"/>
    <w:rsid w:val="004D141E"/>
    <w:rsid w:val="00502B01"/>
    <w:rsid w:val="00567079"/>
    <w:rsid w:val="00573B41"/>
    <w:rsid w:val="005A00DC"/>
    <w:rsid w:val="005B1CA3"/>
    <w:rsid w:val="005E2181"/>
    <w:rsid w:val="005E6533"/>
    <w:rsid w:val="006014DD"/>
    <w:rsid w:val="006020E7"/>
    <w:rsid w:val="00614FE7"/>
    <w:rsid w:val="00624E88"/>
    <w:rsid w:val="00654C19"/>
    <w:rsid w:val="00683B24"/>
    <w:rsid w:val="006B438E"/>
    <w:rsid w:val="006C775C"/>
    <w:rsid w:val="00725633"/>
    <w:rsid w:val="00751326"/>
    <w:rsid w:val="00793DA6"/>
    <w:rsid w:val="007D3366"/>
    <w:rsid w:val="008459D5"/>
    <w:rsid w:val="008F34A1"/>
    <w:rsid w:val="00904969"/>
    <w:rsid w:val="009317E2"/>
    <w:rsid w:val="00945255"/>
    <w:rsid w:val="0099400A"/>
    <w:rsid w:val="009A1C3C"/>
    <w:rsid w:val="00A055A8"/>
    <w:rsid w:val="00A10FE4"/>
    <w:rsid w:val="00A56C5F"/>
    <w:rsid w:val="00A80827"/>
    <w:rsid w:val="00A951CB"/>
    <w:rsid w:val="00A97211"/>
    <w:rsid w:val="00AF4A9B"/>
    <w:rsid w:val="00B305E9"/>
    <w:rsid w:val="00B710D2"/>
    <w:rsid w:val="00BE0B73"/>
    <w:rsid w:val="00BF0618"/>
    <w:rsid w:val="00C23F54"/>
    <w:rsid w:val="00C43518"/>
    <w:rsid w:val="00C75D05"/>
    <w:rsid w:val="00CE3206"/>
    <w:rsid w:val="00CF7496"/>
    <w:rsid w:val="00D01267"/>
    <w:rsid w:val="00D71EB3"/>
    <w:rsid w:val="00D81245"/>
    <w:rsid w:val="00D8169B"/>
    <w:rsid w:val="00D85CA7"/>
    <w:rsid w:val="00E36927"/>
    <w:rsid w:val="00E36D98"/>
    <w:rsid w:val="00E64B5E"/>
    <w:rsid w:val="00E76567"/>
    <w:rsid w:val="00E777EC"/>
    <w:rsid w:val="00FA446C"/>
    <w:rsid w:val="00FB28E2"/>
    <w:rsid w:val="00FC46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C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54C19"/>
    <w:pPr>
      <w:tabs>
        <w:tab w:val="center" w:pos="4153"/>
        <w:tab w:val="right" w:pos="8306"/>
      </w:tabs>
      <w:snapToGrid w:val="0"/>
      <w:jc w:val="left"/>
    </w:pPr>
    <w:rPr>
      <w:sz w:val="18"/>
      <w:szCs w:val="18"/>
    </w:rPr>
  </w:style>
  <w:style w:type="character" w:customStyle="1" w:styleId="Char">
    <w:name w:val="页脚 Char"/>
    <w:basedOn w:val="a0"/>
    <w:link w:val="a3"/>
    <w:uiPriority w:val="99"/>
    <w:rsid w:val="00654C19"/>
    <w:rPr>
      <w:rFonts w:ascii="Times New Roman" w:eastAsia="宋体" w:hAnsi="Times New Roman" w:cs="Times New Roman"/>
      <w:sz w:val="18"/>
      <w:szCs w:val="18"/>
    </w:rPr>
  </w:style>
  <w:style w:type="paragraph" w:styleId="a4">
    <w:name w:val="footnote text"/>
    <w:basedOn w:val="a"/>
    <w:link w:val="Char0"/>
    <w:uiPriority w:val="99"/>
    <w:semiHidden/>
    <w:unhideWhenUsed/>
    <w:rsid w:val="00654C19"/>
    <w:pPr>
      <w:snapToGrid w:val="0"/>
      <w:jc w:val="left"/>
    </w:pPr>
    <w:rPr>
      <w:rFonts w:ascii="Calibri" w:hAnsi="Calibri"/>
      <w:sz w:val="18"/>
      <w:szCs w:val="18"/>
    </w:rPr>
  </w:style>
  <w:style w:type="character" w:customStyle="1" w:styleId="Char0">
    <w:name w:val="脚注文本 Char"/>
    <w:basedOn w:val="a0"/>
    <w:link w:val="a4"/>
    <w:uiPriority w:val="99"/>
    <w:semiHidden/>
    <w:rsid w:val="00654C19"/>
    <w:rPr>
      <w:rFonts w:ascii="Calibri" w:eastAsia="宋体" w:hAnsi="Calibri" w:cs="Times New Roman"/>
      <w:sz w:val="18"/>
      <w:szCs w:val="18"/>
    </w:rPr>
  </w:style>
  <w:style w:type="character" w:styleId="a5">
    <w:name w:val="footnote reference"/>
    <w:basedOn w:val="a0"/>
    <w:uiPriority w:val="99"/>
    <w:semiHidden/>
    <w:unhideWhenUsed/>
    <w:rsid w:val="00654C19"/>
    <w:rPr>
      <w:vertAlign w:val="superscript"/>
    </w:rPr>
  </w:style>
  <w:style w:type="paragraph" w:styleId="a6">
    <w:name w:val="header"/>
    <w:basedOn w:val="a"/>
    <w:link w:val="Char1"/>
    <w:uiPriority w:val="99"/>
    <w:unhideWhenUsed/>
    <w:rsid w:val="00B710D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710D2"/>
    <w:rPr>
      <w:rFonts w:ascii="Times New Roman" w:eastAsia="宋体" w:hAnsi="Times New Roman" w:cs="Times New Roman"/>
      <w:sz w:val="18"/>
      <w:szCs w:val="18"/>
    </w:rPr>
  </w:style>
  <w:style w:type="paragraph" w:styleId="a7">
    <w:name w:val="Balloon Text"/>
    <w:basedOn w:val="a"/>
    <w:link w:val="Char2"/>
    <w:uiPriority w:val="99"/>
    <w:semiHidden/>
    <w:unhideWhenUsed/>
    <w:rsid w:val="00213EB2"/>
    <w:rPr>
      <w:sz w:val="18"/>
      <w:szCs w:val="18"/>
    </w:rPr>
  </w:style>
  <w:style w:type="character" w:customStyle="1" w:styleId="Char2">
    <w:name w:val="批注框文本 Char"/>
    <w:basedOn w:val="a0"/>
    <w:link w:val="a7"/>
    <w:uiPriority w:val="99"/>
    <w:semiHidden/>
    <w:rsid w:val="00213EB2"/>
    <w:rPr>
      <w:rFonts w:ascii="Times New Roman" w:eastAsia="宋体" w:hAnsi="Times New Roman" w:cs="Times New Roman"/>
      <w:sz w:val="18"/>
      <w:szCs w:val="18"/>
    </w:rPr>
  </w:style>
  <w:style w:type="paragraph" w:styleId="a8">
    <w:name w:val="endnote text"/>
    <w:basedOn w:val="a"/>
    <w:link w:val="Char3"/>
    <w:uiPriority w:val="99"/>
    <w:semiHidden/>
    <w:unhideWhenUsed/>
    <w:rsid w:val="00AF4A9B"/>
    <w:pPr>
      <w:snapToGrid w:val="0"/>
      <w:jc w:val="left"/>
    </w:pPr>
  </w:style>
  <w:style w:type="character" w:customStyle="1" w:styleId="Char3">
    <w:name w:val="尾注文本 Char"/>
    <w:basedOn w:val="a0"/>
    <w:link w:val="a8"/>
    <w:uiPriority w:val="99"/>
    <w:semiHidden/>
    <w:rsid w:val="00AF4A9B"/>
    <w:rPr>
      <w:rFonts w:ascii="Times New Roman" w:eastAsia="宋体" w:hAnsi="Times New Roman" w:cs="Times New Roman"/>
      <w:szCs w:val="24"/>
    </w:rPr>
  </w:style>
  <w:style w:type="character" w:styleId="a9">
    <w:name w:val="endnote reference"/>
    <w:basedOn w:val="a0"/>
    <w:uiPriority w:val="99"/>
    <w:semiHidden/>
    <w:unhideWhenUsed/>
    <w:rsid w:val="00AF4A9B"/>
    <w:rPr>
      <w:vertAlign w:val="superscript"/>
    </w:rPr>
  </w:style>
  <w:style w:type="paragraph" w:styleId="aa">
    <w:name w:val="Body Text"/>
    <w:basedOn w:val="a"/>
    <w:link w:val="Char4"/>
    <w:rsid w:val="00945255"/>
    <w:pPr>
      <w:autoSpaceDE w:val="0"/>
      <w:autoSpaceDN w:val="0"/>
      <w:adjustRightInd w:val="0"/>
      <w:snapToGrid w:val="0"/>
      <w:spacing w:line="588" w:lineRule="atLeast"/>
    </w:pPr>
    <w:rPr>
      <w:rFonts w:ascii="宋体" w:eastAsia="仿宋_GB2312" w:hAnsi="宋体"/>
      <w:spacing w:val="-2"/>
      <w:sz w:val="32"/>
    </w:rPr>
  </w:style>
  <w:style w:type="character" w:customStyle="1" w:styleId="Char4">
    <w:name w:val="正文文本 Char"/>
    <w:basedOn w:val="a0"/>
    <w:link w:val="aa"/>
    <w:rsid w:val="00945255"/>
    <w:rPr>
      <w:rFonts w:ascii="宋体" w:eastAsia="仿宋_GB2312" w:hAnsi="宋体" w:cs="Times New Roman"/>
      <w:spacing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C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54C19"/>
    <w:pPr>
      <w:tabs>
        <w:tab w:val="center" w:pos="4153"/>
        <w:tab w:val="right" w:pos="8306"/>
      </w:tabs>
      <w:snapToGrid w:val="0"/>
      <w:jc w:val="left"/>
    </w:pPr>
    <w:rPr>
      <w:sz w:val="18"/>
      <w:szCs w:val="18"/>
    </w:rPr>
  </w:style>
  <w:style w:type="character" w:customStyle="1" w:styleId="Char">
    <w:name w:val="页脚 Char"/>
    <w:basedOn w:val="a0"/>
    <w:link w:val="a3"/>
    <w:uiPriority w:val="99"/>
    <w:rsid w:val="00654C19"/>
    <w:rPr>
      <w:rFonts w:ascii="Times New Roman" w:eastAsia="宋体" w:hAnsi="Times New Roman" w:cs="Times New Roman"/>
      <w:sz w:val="18"/>
      <w:szCs w:val="18"/>
    </w:rPr>
  </w:style>
  <w:style w:type="paragraph" w:styleId="a4">
    <w:name w:val="footnote text"/>
    <w:basedOn w:val="a"/>
    <w:link w:val="Char0"/>
    <w:uiPriority w:val="99"/>
    <w:semiHidden/>
    <w:unhideWhenUsed/>
    <w:rsid w:val="00654C19"/>
    <w:pPr>
      <w:snapToGrid w:val="0"/>
      <w:jc w:val="left"/>
    </w:pPr>
    <w:rPr>
      <w:rFonts w:ascii="Calibri" w:hAnsi="Calibri"/>
      <w:sz w:val="18"/>
      <w:szCs w:val="18"/>
    </w:rPr>
  </w:style>
  <w:style w:type="character" w:customStyle="1" w:styleId="Char0">
    <w:name w:val="脚注文本 Char"/>
    <w:basedOn w:val="a0"/>
    <w:link w:val="a4"/>
    <w:uiPriority w:val="99"/>
    <w:semiHidden/>
    <w:rsid w:val="00654C19"/>
    <w:rPr>
      <w:rFonts w:ascii="Calibri" w:eastAsia="宋体" w:hAnsi="Calibri" w:cs="Times New Roman"/>
      <w:sz w:val="18"/>
      <w:szCs w:val="18"/>
    </w:rPr>
  </w:style>
  <w:style w:type="character" w:styleId="a5">
    <w:name w:val="footnote reference"/>
    <w:basedOn w:val="a0"/>
    <w:uiPriority w:val="99"/>
    <w:semiHidden/>
    <w:unhideWhenUsed/>
    <w:rsid w:val="00654C19"/>
    <w:rPr>
      <w:vertAlign w:val="superscript"/>
    </w:rPr>
  </w:style>
  <w:style w:type="paragraph" w:styleId="a6">
    <w:name w:val="header"/>
    <w:basedOn w:val="a"/>
    <w:link w:val="Char1"/>
    <w:uiPriority w:val="99"/>
    <w:unhideWhenUsed/>
    <w:rsid w:val="00B710D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710D2"/>
    <w:rPr>
      <w:rFonts w:ascii="Times New Roman" w:eastAsia="宋体" w:hAnsi="Times New Roman" w:cs="Times New Roman"/>
      <w:sz w:val="18"/>
      <w:szCs w:val="18"/>
    </w:rPr>
  </w:style>
  <w:style w:type="paragraph" w:styleId="a7">
    <w:name w:val="Balloon Text"/>
    <w:basedOn w:val="a"/>
    <w:link w:val="Char2"/>
    <w:uiPriority w:val="99"/>
    <w:semiHidden/>
    <w:unhideWhenUsed/>
    <w:rsid w:val="00213EB2"/>
    <w:rPr>
      <w:sz w:val="18"/>
      <w:szCs w:val="18"/>
    </w:rPr>
  </w:style>
  <w:style w:type="character" w:customStyle="1" w:styleId="Char2">
    <w:name w:val="批注框文本 Char"/>
    <w:basedOn w:val="a0"/>
    <w:link w:val="a7"/>
    <w:uiPriority w:val="99"/>
    <w:semiHidden/>
    <w:rsid w:val="00213EB2"/>
    <w:rPr>
      <w:rFonts w:ascii="Times New Roman" w:eastAsia="宋体" w:hAnsi="Times New Roman" w:cs="Times New Roman"/>
      <w:sz w:val="18"/>
      <w:szCs w:val="18"/>
    </w:rPr>
  </w:style>
  <w:style w:type="paragraph" w:styleId="a8">
    <w:name w:val="endnote text"/>
    <w:basedOn w:val="a"/>
    <w:link w:val="Char3"/>
    <w:uiPriority w:val="99"/>
    <w:semiHidden/>
    <w:unhideWhenUsed/>
    <w:rsid w:val="00AF4A9B"/>
    <w:pPr>
      <w:snapToGrid w:val="0"/>
      <w:jc w:val="left"/>
    </w:pPr>
  </w:style>
  <w:style w:type="character" w:customStyle="1" w:styleId="Char3">
    <w:name w:val="尾注文本 Char"/>
    <w:basedOn w:val="a0"/>
    <w:link w:val="a8"/>
    <w:uiPriority w:val="99"/>
    <w:semiHidden/>
    <w:rsid w:val="00AF4A9B"/>
    <w:rPr>
      <w:rFonts w:ascii="Times New Roman" w:eastAsia="宋体" w:hAnsi="Times New Roman" w:cs="Times New Roman"/>
      <w:szCs w:val="24"/>
    </w:rPr>
  </w:style>
  <w:style w:type="character" w:styleId="a9">
    <w:name w:val="endnote reference"/>
    <w:basedOn w:val="a0"/>
    <w:uiPriority w:val="99"/>
    <w:semiHidden/>
    <w:unhideWhenUsed/>
    <w:rsid w:val="00AF4A9B"/>
    <w:rPr>
      <w:vertAlign w:val="superscript"/>
    </w:rPr>
  </w:style>
  <w:style w:type="paragraph" w:styleId="aa">
    <w:name w:val="Body Text"/>
    <w:basedOn w:val="a"/>
    <w:link w:val="Char4"/>
    <w:rsid w:val="00945255"/>
    <w:pPr>
      <w:autoSpaceDE w:val="0"/>
      <w:autoSpaceDN w:val="0"/>
      <w:adjustRightInd w:val="0"/>
      <w:snapToGrid w:val="0"/>
      <w:spacing w:line="588" w:lineRule="atLeast"/>
    </w:pPr>
    <w:rPr>
      <w:rFonts w:ascii="宋体" w:eastAsia="仿宋_GB2312" w:hAnsi="宋体"/>
      <w:spacing w:val="-2"/>
      <w:sz w:val="32"/>
    </w:rPr>
  </w:style>
  <w:style w:type="character" w:customStyle="1" w:styleId="Char4">
    <w:name w:val="正文文本 Char"/>
    <w:basedOn w:val="a0"/>
    <w:link w:val="aa"/>
    <w:rsid w:val="00945255"/>
    <w:rPr>
      <w:rFonts w:ascii="宋体" w:eastAsia="仿宋_GB2312" w:hAnsi="宋体" w:cs="Times New Roman"/>
      <w:spacing w:val="-2"/>
      <w:sz w:val="3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35D9A-20AC-4926-8A81-60D1571C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叶辰宸</dc:creator>
  <cp:lastModifiedBy>lenovo</cp:lastModifiedBy>
  <cp:revision>4</cp:revision>
  <cp:lastPrinted>2020-09-30T01:43:00Z</cp:lastPrinted>
  <dcterms:created xsi:type="dcterms:W3CDTF">2020-10-14T06:07:00Z</dcterms:created>
  <dcterms:modified xsi:type="dcterms:W3CDTF">2020-10-30T07:59:00Z</dcterms:modified>
</cp:coreProperties>
</file>